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 xml:space="preserve">Title 40: Protection of Environment </w:t>
      </w:r>
      <w:r w:rsidRPr="00CA0CDB">
        <w:rPr>
          <w:rFonts w:ascii="Arial" w:eastAsia="Times New Roman" w:hAnsi="Arial" w:cs="Arial"/>
          <w:sz w:val="10"/>
          <w:szCs w:val="10"/>
        </w:rPr>
        <w:br/>
      </w:r>
      <w:hyperlink r:id="rId6" w:history="1">
        <w:r w:rsidRPr="00CA0CDB">
          <w:rPr>
            <w:rFonts w:ascii="Arial" w:eastAsia="Times New Roman" w:hAnsi="Arial" w:cs="Arial"/>
            <w:color w:val="0000FF"/>
            <w:sz w:val="9"/>
          </w:rPr>
          <w:t>PART 60—STANDARDS OF PERFORMANCE FOR NEW STATIONARY SOURCES</w:t>
        </w:r>
      </w:hyperlink>
      <w:r w:rsidRPr="00CA0CDB">
        <w:rPr>
          <w:rFonts w:ascii="Arial" w:eastAsia="Times New Roman" w:hAnsi="Arial" w:cs="Arial"/>
          <w:sz w:val="10"/>
          <w:szCs w:val="10"/>
        </w:rPr>
        <w:t xml:space="preserve"> </w:t>
      </w:r>
    </w:p>
    <w:p w:rsidR="00CA0CDB" w:rsidRPr="00CA0CDB" w:rsidRDefault="00253237" w:rsidP="00CA0CDB">
      <w:pPr>
        <w:spacing w:after="0" w:line="240" w:lineRule="auto"/>
        <w:rPr>
          <w:rFonts w:ascii="Arial" w:eastAsia="Times New Roman" w:hAnsi="Arial" w:cs="Arial"/>
          <w:sz w:val="10"/>
          <w:szCs w:val="10"/>
        </w:rPr>
      </w:pPr>
      <w:r w:rsidRPr="00253237">
        <w:rPr>
          <w:rFonts w:ascii="Arial" w:eastAsia="Times New Roman" w:hAnsi="Arial" w:cs="Arial"/>
          <w:sz w:val="10"/>
          <w:szCs w:val="10"/>
        </w:rPr>
        <w:pict>
          <v:rect id="_x0000_i1025" style="width:0;height:1.5pt" o:hrstd="t" o:hr="t" fillcolor="gray" stroked="f"/>
        </w:pict>
      </w:r>
    </w:p>
    <w:p w:rsidR="00CA0CDB" w:rsidRPr="00CA0CDB" w:rsidRDefault="00CA0CDB" w:rsidP="00CA0CDB">
      <w:pPr>
        <w:spacing w:before="200" w:after="100" w:line="240" w:lineRule="auto"/>
        <w:outlineLvl w:val="1"/>
        <w:rPr>
          <w:rFonts w:ascii="Arial" w:eastAsia="Times New Roman" w:hAnsi="Arial" w:cs="Arial"/>
          <w:b/>
          <w:bCs/>
          <w:sz w:val="14"/>
          <w:szCs w:val="14"/>
        </w:rPr>
      </w:pPr>
      <w:bookmarkStart w:id="0" w:name="_top"/>
      <w:bookmarkEnd w:id="0"/>
      <w:r w:rsidRPr="00CA0CDB">
        <w:rPr>
          <w:rFonts w:ascii="Arial" w:eastAsia="Times New Roman" w:hAnsi="Arial" w:cs="Arial"/>
          <w:b/>
          <w:bCs/>
          <w:sz w:val="14"/>
          <w:szCs w:val="14"/>
        </w:rPr>
        <w:t>Subpart JJJJ—Standards of Performance for Stationary Spark Ignition Internal Combustion Engines</w:t>
      </w:r>
    </w:p>
    <w:p w:rsidR="00CA0CDB" w:rsidRPr="00CA0CDB" w:rsidRDefault="00253237" w:rsidP="00CA0CDB">
      <w:pPr>
        <w:spacing w:after="0" w:line="240" w:lineRule="auto"/>
        <w:rPr>
          <w:rFonts w:ascii="Arial" w:eastAsia="Times New Roman" w:hAnsi="Arial" w:cs="Arial"/>
          <w:sz w:val="10"/>
          <w:szCs w:val="10"/>
        </w:rPr>
      </w:pPr>
      <w:r w:rsidRPr="00253237">
        <w:rPr>
          <w:rFonts w:ascii="Arial" w:eastAsia="Times New Roman" w:hAnsi="Arial" w:cs="Arial"/>
          <w:sz w:val="10"/>
          <w:szCs w:val="10"/>
        </w:rPr>
        <w:pict>
          <v:rect id="_x0000_i1026" style="width:0;height:1.5pt" o:hrstd="t" o:hr="t" fillcolor="gray" stroked="f"/>
        </w:pic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1" w:name="40:7.0.1.1.1.98.255"/>
      <w:bookmarkEnd w:id="1"/>
      <w:r w:rsidRPr="00CA0CDB">
        <w:rPr>
          <w:rFonts w:ascii="Arial" w:eastAsia="Times New Roman" w:hAnsi="Arial" w:cs="Arial"/>
          <w:b/>
          <w:bCs/>
          <w:sz w:val="10"/>
          <w:szCs w:val="10"/>
        </w:rPr>
        <w:t>What This Subpart Covers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 w:name="40:7.0.1.1.1.98.255.1"/>
      <w:bookmarkEnd w:id="2"/>
      <w:r w:rsidRPr="00CA0CDB">
        <w:rPr>
          <w:rFonts w:ascii="Arial" w:eastAsia="Times New Roman" w:hAnsi="Arial" w:cs="Arial"/>
          <w:b/>
          <w:bCs/>
          <w:sz w:val="10"/>
          <w:szCs w:val="10"/>
        </w:rPr>
        <w:t>§ 60.4230   Am I subject to this subpart?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 The provisions of this subpart are applicable to manufacturers, owners, and operators of stationary spark ignition (SI) internal combustion engines (ICE) as specified in paragraphs (a)(1) through (6) of this section. For the purposes of this subpart, the date that construction commences is the date the engine is ordered by the owner or operator.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Manufacturers of stationary SI ICE with a maximum engine power less than or equal to 19 kilowatt (KW) (25 horsepower (HP)) that are manufactured on or after July 1, 2008.</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Manufacturers of stationary SI ICE with a maximum engine power greater than 19 KW (25 HP) that are gasoline fueled or that are rich burn engines fueled by liquefied petroleum gas (LPG), where the date of manufacture is: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On or after July 1, 2008; or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 On or after January 1, 2009, for emergency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(3) 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On or after July 1, 2007, for engines with a maximum engine power greater than or equal to 500 HP (except lean burn engines with a maximum engine power greater than or equal to 500 HP and less than 1,350 HP);</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 On or after January 1, 2008, for lean burn engines with a maximum engine power greater than or equal to 500 HP and less than 1,350 HP;</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(iii) On or after July 1, 2008, for engines with a maximum engine power less than 500 HP; or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gramStart"/>
      <w:r w:rsidRPr="00CA0CDB">
        <w:rPr>
          <w:rFonts w:ascii="Arial" w:eastAsia="Times New Roman" w:hAnsi="Arial" w:cs="Arial"/>
          <w:sz w:val="10"/>
          <w:szCs w:val="10"/>
        </w:rPr>
        <w:t>(iv) On</w:t>
      </w:r>
      <w:proofErr w:type="gramEnd"/>
      <w:r w:rsidRPr="00CA0CDB">
        <w:rPr>
          <w:rFonts w:ascii="Arial" w:eastAsia="Times New Roman" w:hAnsi="Arial" w:cs="Arial"/>
          <w:sz w:val="10"/>
          <w:szCs w:val="10"/>
        </w:rPr>
        <w:t xml:space="preserve"> or after January 1, 2009, for emergency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(4) Owners and operators of stationary SI ICE that commence construction after June 12, 2006, where the stationary SI ICE </w:t>
      </w:r>
      <w:proofErr w:type="gramStart"/>
      <w:r w:rsidRPr="00CA0CDB">
        <w:rPr>
          <w:rFonts w:ascii="Arial" w:eastAsia="Times New Roman" w:hAnsi="Arial" w:cs="Arial"/>
          <w:sz w:val="10"/>
          <w:szCs w:val="10"/>
        </w:rPr>
        <w:t>are</w:t>
      </w:r>
      <w:proofErr w:type="gramEnd"/>
      <w:r w:rsidRPr="00CA0CDB">
        <w:rPr>
          <w:rFonts w:ascii="Arial" w:eastAsia="Times New Roman" w:hAnsi="Arial" w:cs="Arial"/>
          <w:sz w:val="10"/>
          <w:szCs w:val="10"/>
        </w:rPr>
        <w:t xml:space="preserve"> manufactured: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On or after July 1, 2007, for engines with a maximum engine power greater than or equal to 500 HP (except lean burn engines with a maximum engine power greater than or equal to 500 HP and less than 1,350 HP);</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 on or after January 1, 2008, for lean burn engines with a maximum engine power greater than or equal to 500 HP and less than 1,350 HP;</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(iii) </w:t>
      </w:r>
      <w:proofErr w:type="gramStart"/>
      <w:r w:rsidRPr="00CA0CDB">
        <w:rPr>
          <w:rFonts w:ascii="Arial" w:eastAsia="Times New Roman" w:hAnsi="Arial" w:cs="Arial"/>
          <w:sz w:val="10"/>
          <w:szCs w:val="10"/>
        </w:rPr>
        <w:t>on</w:t>
      </w:r>
      <w:proofErr w:type="gramEnd"/>
      <w:r w:rsidRPr="00CA0CDB">
        <w:rPr>
          <w:rFonts w:ascii="Arial" w:eastAsia="Times New Roman" w:hAnsi="Arial" w:cs="Arial"/>
          <w:sz w:val="10"/>
          <w:szCs w:val="10"/>
        </w:rPr>
        <w:t xml:space="preserve"> or after July 1, 2008, for engines with a maximum engine power less than 500 HP; or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(iv) </w:t>
      </w:r>
      <w:proofErr w:type="gramStart"/>
      <w:r w:rsidRPr="00CA0CDB">
        <w:rPr>
          <w:rFonts w:ascii="Arial" w:eastAsia="Times New Roman" w:hAnsi="Arial" w:cs="Arial"/>
          <w:sz w:val="10"/>
          <w:szCs w:val="10"/>
        </w:rPr>
        <w:t>on</w:t>
      </w:r>
      <w:proofErr w:type="gramEnd"/>
      <w:r w:rsidRPr="00CA0CDB">
        <w:rPr>
          <w:rFonts w:ascii="Arial" w:eastAsia="Times New Roman" w:hAnsi="Arial" w:cs="Arial"/>
          <w:sz w:val="10"/>
          <w:szCs w:val="10"/>
        </w:rPr>
        <w:t xml:space="preserve"> or after January 1, 2009, for emergency engines with a maximum engine power greater than 19 KW (25 HP).</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(5) Owners and operators of stationary SI ICE that are modified or reconstructed after June 12, 2006, and any person that modifies or reconstructs any stationary SI ICE after June 12, 2006.</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(6) The provisions of § 60.4236 of this subpart are applicable to all owners and operators of stationary SI ICE that commence construction after June 12, 2006.</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(b) The provisions of this subpart are not applicable to stationary SI ICE being tested at an engine test cell/stand.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(d) For the purposes of this subpart, stationary SI ICE using alcohol-based fuels are considered gasoline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(e) Stationary SI ICE may be eligible for exemption from the requirements of this subpart as described in 40 CFR part 1068, subpart C (or the exemptions described in 40 CFR parts 90 and 1048, for engines that would need to be certified to standards in those parts), except that owners and operators, as well as manufacturers, may be eligible to request an exemption for national security.</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(f) 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engine provisions, are not required to meet any other provisions under this subpart with regard to such engines.</w:t>
      </w:r>
    </w:p>
    <w:p w:rsidR="00CA0CDB" w:rsidRDefault="00CA0CDB" w:rsidP="00A968D7">
      <w:pPr>
        <w:spacing w:before="200" w:after="100" w:afterAutospacing="1" w:line="240" w:lineRule="auto"/>
        <w:rPr>
          <w:rFonts w:ascii="Arial" w:eastAsia="Times New Roman" w:hAnsi="Arial" w:cs="Arial"/>
          <w:b/>
          <w:bCs/>
          <w:sz w:val="10"/>
          <w:szCs w:val="10"/>
        </w:rPr>
      </w:pPr>
      <w:r w:rsidRPr="00CA0CDB">
        <w:rPr>
          <w:rFonts w:ascii="Arial" w:eastAsia="Times New Roman" w:hAnsi="Arial" w:cs="Arial"/>
          <w:sz w:val="10"/>
          <w:szCs w:val="10"/>
        </w:rPr>
        <w:t>[73 FR 3591, Jan. 18, 2008, as amended at 76 FR 37972, June 28, 2011]</w:t>
      </w:r>
      <w:bookmarkStart w:id="3" w:name="40:7.0.1.1.1.98.256"/>
      <w:bookmarkEnd w:id="3"/>
      <w:r>
        <w:rPr>
          <w:rFonts w:ascii="Arial" w:eastAsia="Times New Roman" w:hAnsi="Arial" w:cs="Arial"/>
          <w:b/>
          <w:bCs/>
          <w:sz w:val="10"/>
          <w:szCs w:val="10"/>
        </w:rPr>
        <w:br w:type="page"/>
      </w:r>
    </w:p>
    <w:p w:rsidR="00CA0CDB" w:rsidRPr="00CA0CDB" w:rsidRDefault="00CA0CDB" w:rsidP="00CA0CDB">
      <w:pPr>
        <w:spacing w:before="200" w:after="100" w:line="240" w:lineRule="auto"/>
        <w:outlineLvl w:val="1"/>
        <w:rPr>
          <w:rFonts w:ascii="Arial" w:eastAsia="Times New Roman" w:hAnsi="Arial" w:cs="Arial"/>
          <w:b/>
          <w:bCs/>
          <w:sz w:val="10"/>
          <w:szCs w:val="10"/>
        </w:rPr>
      </w:pPr>
      <w:r w:rsidRPr="00CA0CDB">
        <w:rPr>
          <w:rFonts w:ascii="Arial" w:eastAsia="Times New Roman" w:hAnsi="Arial" w:cs="Arial"/>
          <w:b/>
          <w:bCs/>
          <w:sz w:val="10"/>
          <w:szCs w:val="10"/>
        </w:rPr>
        <w:lastRenderedPageBreak/>
        <w:t>Emission Standards for Manufacturers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4" w:name="40:7.0.1.1.1.98.256.2"/>
      <w:bookmarkEnd w:id="4"/>
      <w:r w:rsidRPr="00CA0CDB">
        <w:rPr>
          <w:rFonts w:ascii="Arial" w:eastAsia="Times New Roman" w:hAnsi="Arial" w:cs="Arial"/>
          <w:b/>
          <w:bCs/>
          <w:sz w:val="10"/>
          <w:szCs w:val="10"/>
        </w:rPr>
        <w:t>§ 60.4231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emission standards must I meet if I am a manufacturer of stationary SI internal combustion engines or equipment containing such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(a) Stationary SI internal combustion engine manufacturers must certify their stationary SI ICE with a maximum engine power less than or equal to 19 KW (25 HP) manufactured on or after July 1, 2008 to the certification emission standards and other requirements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90 or 1054, as follows: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97"/>
        <w:gridCol w:w="1902"/>
        <w:gridCol w:w="5791"/>
      </w:tblGrid>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If engine displacement is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and manufacturing dates are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 xml:space="preserve">the engine must meet emission standards and related requirements for </w:t>
            </w:r>
            <w:proofErr w:type="spellStart"/>
            <w:r w:rsidRPr="00CA0CDB">
              <w:rPr>
                <w:rFonts w:ascii="Arial" w:eastAsia="Times New Roman" w:hAnsi="Arial" w:cs="Arial"/>
                <w:b/>
                <w:bCs/>
                <w:sz w:val="10"/>
                <w:szCs w:val="10"/>
              </w:rPr>
              <w:t>nonhandheld</w:t>
            </w:r>
            <w:proofErr w:type="spellEnd"/>
            <w:r w:rsidRPr="00CA0CDB">
              <w:rPr>
                <w:rFonts w:ascii="Arial" w:eastAsia="Times New Roman" w:hAnsi="Arial" w:cs="Arial"/>
                <w:b/>
                <w:bCs/>
                <w:sz w:val="10"/>
                <w:szCs w:val="10"/>
              </w:rPr>
              <w:t xml:space="preserve"> engines under *  *  *</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 below 225 cc</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July 1, 2008 to December 31, 2011</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90.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 below 225 cc</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January 1, 2012 or later</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1054.</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(3) at or above 225 cc</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July 1, 2008 to December 31, 2010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90.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(4) at or above 225 cc</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January 1, 2011 or later</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1054.</w:t>
            </w:r>
          </w:p>
        </w:tc>
      </w:tr>
    </w:tbl>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(b) Stationary SI internal combustion engine manufacturers must certify their stationary SI ICE with a maximum engine power greater than 19 KW (25 HP) (except emergency stationary ICE with a maximum engine power greater than 25 HP and less than 130 HP) that use gasoline and that are manufactured on or after the applicable date in § 60.4230(a)(2), or manufactured on or after the applicable date in § 60.4230(a)(4) for emergency stationary ICE with a maximum engine power greater than or equal to 130 HP, to the certification emission standards and other requirements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1048. Stationary SI internal combustion engine manufacturers must certify their emergency stationary SI ICE with a maximum engine power greater than 25 HP and less than 130 HP that use gasoline and that are manufactured on or after the applicable date in § 60.4230(a</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 xml:space="preserve">4) to the Phase 1 emission standards in 40 CFR 90.103, applicable to class II engines, and other requirements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90. Stationary SI internal combustion engine manufacturers may certify their stationary SI ICE with a maximum engine power less than or equal to 30 KW (40 HP) with a total displacement less than or equal to 1,000 cubic centimeters (cc) that use gasoline to the certification emission standards and other requirements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90 or 1054, as appropriate.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(c) Stationary SI internal combustion engine manufacturers must certify their stationary SI ICE with a maximum engine power greater than 19 KW (25 HP) (except emergency stationary ICE with a maximum engine power greater than 25 HP and less than 130 HP) that are rich burn engines that use LPG and that are manufactured on or after the applicable date in § 60.4230(a)(2), or manufactured on or after the applicable date in § 60.4230(a)(4) for emergency stationary ICE with a maximum engine power greater than or equal to 130 HP, to the certification emission standards and other requirements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1048. Stationary SI internal combustion engine manufacturers must certify their emergency stationary SI ICE greater than 25 HP and less than 130 HP that are rich burn engines that use LPG and that are manufactured on or after the applicable date in § 60.4230(a</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 xml:space="preserve">4) to the Phase 1 emission standards in 40 CFR 90.103, applicable to class II engines, and other requirements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90. Stationary SI internal combustion engine manufacturers may certify their stationary SI ICE with a maximum engine power less than or equal to 30 KW (40 HP) with a total displacement less than or equal to 1,000 cc that are rich burn engines that use LPG to the certification emission standards and other requirements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90 or 1054, as appropriate.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(d) Stationary SI internal combustion engine manufacturers who choose to certify their stationary SI ICE with a maximum engine power greater than 19 KW (25 HP) and less than 75 KW (100 HP) (except gasoline and rich burn engines that use LPG and emergency stationary ICE with a maximum engine power greater than 25 HP and less than 130 HP) under the voluntary manufacturer certification program described in this subpart must certify those engines to the certification emission standards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1048. Stationary SI internal combustion engine manufacturers who choose to certify their emergency stationary SI ICE greater than 25 HP and less than 130 HP (except gasoline and rich burn engines that use LPG), must certify those engines to the Phase 1 emission standards in 40 CFR 90.103, applicable to class II engines,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90. Stationary SI internal combustion engine manufacturers may certify their stationary SI ICE with a maximum engine power less than or equal to 30 KW (40 HP) with a total displacement less than or equal to 1,000 cc (except gasoline and rich burn engines that use LPG) to the certification emission standards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90 or 1054, as appropriate. For stationary SI ICE with a maximum engine power greater than 19 KW (25 HP) and less than 75 KW (100 HP) (except gasoline and rich burn engines that use LPG and emergency stationary ICE with a maximum engine power greater than 25 HP and less than 130 HP) manufactured prior to January 1, 2011, manufacturers may choose to certify these engines to the standards in Table 1 to this subpart applicable to engines with a maximum engine power greater than or equal to 100 HP and less than 500 HP.</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(e) Stationary SI internal combustion engine manufacturers who choose to certify their stationary SI ICE with a maximum engine power greater than or equal to 75 KW (100 HP) (except gasoline and rich burn engines that use LPG) under the voluntary manufacturer certification program described in this subpart must certify those engines to the emission standards in Table 1 to this subpart. Stationary SI internal combustion engine manufacturers may certify their stationary SI ICE with a maximum engine power greater than or equal to 75 KW (100 HP) that are lean burn engines that use LPG to the certification emission standards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1048. For stationary SI ICE with a maximum engine power greater than or equal to 100 HP (75 KW) and less than 500 HP (373 KW) manufactured prior to January 1, 2011, and for stationary SI ICE with a maximum engine power greater than or equal to 500 HP (373 KW) manufactured prior to July 1, 2010, manufacturers may choose to certify these engines to the certification emission standards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1048 applicable to engines that are not severe duty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(f) Manufacturers of equipment containing stationary SI internal combustion engines meeting the provisions of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1054 must meet the provisions of 40 CFR part 1060, to the extent they apply to equipment manufacturers.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(g) Notwithstanding the requirements in paragraphs (a) through (c) of this section, stationary SI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SI ICE.</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[73 FR 3591, Jan. 18, 2008, as amended at 73 FR 59175, Oct. 8, 2008; 76 FR 37973, June 28, 2011; 78 FR 6697, Jan. 30, 2013]</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5" w:name="40:7.0.1.1.1.98.256.3"/>
      <w:bookmarkEnd w:id="5"/>
      <w:r w:rsidRPr="00CA0CDB">
        <w:rPr>
          <w:rFonts w:ascii="Arial" w:eastAsia="Times New Roman" w:hAnsi="Arial" w:cs="Arial"/>
          <w:b/>
          <w:bCs/>
          <w:sz w:val="10"/>
          <w:szCs w:val="10"/>
        </w:rPr>
        <w:t>§ 60.4232   </w:t>
      </w:r>
      <w:proofErr w:type="gramStart"/>
      <w:r w:rsidRPr="00CA0CDB">
        <w:rPr>
          <w:rFonts w:ascii="Arial" w:eastAsia="Times New Roman" w:hAnsi="Arial" w:cs="Arial"/>
          <w:b/>
          <w:bCs/>
          <w:sz w:val="10"/>
          <w:szCs w:val="10"/>
        </w:rPr>
        <w:t>How</w:t>
      </w:r>
      <w:proofErr w:type="gramEnd"/>
      <w:r w:rsidRPr="00CA0CDB">
        <w:rPr>
          <w:rFonts w:ascii="Arial" w:eastAsia="Times New Roman" w:hAnsi="Arial" w:cs="Arial"/>
          <w:b/>
          <w:bCs/>
          <w:sz w:val="10"/>
          <w:szCs w:val="10"/>
        </w:rPr>
        <w:t xml:space="preserve"> long must my engines meet the emission standards if I am a manufacturer of stationary SI internal combustion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Engines manufactured by stationary SI internal combustion engine manufacturers must meet the emission standards as required in § 60.4231 during the certified emissions life of the engines.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6" w:name="40:7.0.1.1.1.98.257"/>
      <w:bookmarkEnd w:id="6"/>
      <w:r w:rsidRPr="00CA0CDB">
        <w:rPr>
          <w:rFonts w:ascii="Arial" w:eastAsia="Times New Roman" w:hAnsi="Arial" w:cs="Arial"/>
          <w:b/>
          <w:bCs/>
          <w:sz w:val="10"/>
          <w:szCs w:val="10"/>
        </w:rPr>
        <w:t>Emission Standards for Owners and Operators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7" w:name="40:7.0.1.1.1.98.257.4"/>
      <w:bookmarkEnd w:id="7"/>
      <w:r w:rsidRPr="00CA0CDB">
        <w:rPr>
          <w:rFonts w:ascii="Arial" w:eastAsia="Times New Roman" w:hAnsi="Arial" w:cs="Arial"/>
          <w:b/>
          <w:bCs/>
          <w:sz w:val="10"/>
          <w:szCs w:val="10"/>
        </w:rPr>
        <w:t>§ 60.4233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emission standards must I meet if I am an owner or operator of a stationary SI internal combustion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 Owners and operators of stationary SI ICE with a maximum engine power less than or equal to 19 KW (25 HP) manufactured on or after July 1, 2008, must comply with the emission standards in § 60.4231(a) for their stationary SI ICE.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(b) Owners and operators of stationary SI ICE with a maximum engine power greater than 19 KW (25 HP) manufactured on or after the applicable date in § 60.4230(a</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4) that use gasoline must comply with the emission standards in § 60.4231(b) for their stationary SI ICE.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Owners and operators of stationary SI ICE with a maximum engine power greater than 19 KW (25 HP) manufactured on or after the applicable date in § 60.4230(a)(4) that are rich burn engines that use LPG must comply with the emission standards in § 60.4231(c) for their stationary SI ICE.</w:t>
      </w:r>
    </w:p>
    <w:p w:rsidR="0011487A" w:rsidRDefault="00CA0CDB" w:rsidP="00A968D7">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(d) 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 Owners and operators of stationary SI ICE with a maximum engine power greater than 19 KW (25 HP) and less than 75 KW (100 HP) manufactured prior to January 1, 2011, that were certified to the standards in Table 1 to this subpart applicable to engines with a maximum engine power greater than or equal to 100 HP and less than 500 HP, may optionally choose to meet those standards.</w:t>
      </w:r>
      <w:r w:rsidR="0011487A">
        <w:rPr>
          <w:rFonts w:ascii="Arial" w:eastAsia="Times New Roman" w:hAnsi="Arial" w:cs="Arial"/>
          <w:sz w:val="10"/>
          <w:szCs w:val="10"/>
        </w:rPr>
        <w:br w:type="page"/>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(e) Owners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(f) Owners and operators of any modified or reconstructed stationary SI ICE subject to this subpart must meet the requirements as specified in paragraphs (f</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1) through (5)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Owners and operators of stationary SI ICE with a maximum engine power less than or equal to 19 KW (25 HP), that are modified or reconstructed after June 12, 2006, must comply with emission standards in § 60.4231(a) for their stationary SI ICE. Engines with a date of manufacture prior to July 1, 2008 must comply with the emission standards specified in § 60.4231(a) applicable to engines manufactured on July 1, 2008.</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Owners and operators of stationary SI ICE with a maximum engine power greater than 19 KW (25 HP) that are gasoline engines and are modified or reconstructed after June 12, 2006, must comply with the emission standards in § 60.4231(b) for their stationary SI ICE. Engines with a date of manufacture prior to July 1, 2008 (or January 1, 2009 for emergency engines) must comply with the emission standards specified in § 60.4231(b) applicable to engines manufactured on July 1, 2008 (or January 1, 2009 for emergency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(3) Owners and operators of stationary SI ICE with a maximum engine power greater than 19 KW (25 HP) that are rich burn engines that use LPG, that are modified or reconstructed after June 12, 2006, must comply with the same emission standards as those specified in § 60.4231(c). Engines with a date of manufacture prior to July 1, 2008 (or January 1, 2009 for emergency engines) must comply with the emission standards specified in § 60.4231(c) applicable to engines manufactured on July 1, 2008 (or January 1, 2009 for emergency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(4) 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Pr="00CA0CDB">
        <w:rPr>
          <w:rFonts w:ascii="Arial" w:eastAsia="Times New Roman" w:hAnsi="Arial" w:cs="Arial"/>
          <w:sz w:val="7"/>
          <w:szCs w:val="7"/>
          <w:vertAlign w:val="subscript"/>
        </w:rPr>
        <w:t>X</w:t>
      </w:r>
      <w:r w:rsidRPr="00CA0CDB">
        <w:rPr>
          <w:rFonts w:ascii="Arial" w:eastAsia="Times New Roman" w:hAnsi="Arial" w:cs="Arial"/>
          <w:sz w:val="10"/>
          <w:szCs w:val="10"/>
        </w:rPr>
        <w:t xml:space="preserve"> ) emission standard of 3.0 grams per HP-hour (g/HP-hr), a CO emission standard of 4.0 g/HP-hr (5.0 g/HP-hr for non-emergency engines less than 100 HP), and a volatile organic compounds (VOC) emission standard of 1.0 g/HP-hr, or a NO</w:t>
      </w:r>
      <w:r w:rsidRPr="00CA0CDB">
        <w:rPr>
          <w:rFonts w:ascii="Arial" w:eastAsia="Times New Roman" w:hAnsi="Arial" w:cs="Arial"/>
          <w:sz w:val="7"/>
          <w:szCs w:val="7"/>
          <w:vertAlign w:val="subscript"/>
        </w:rPr>
        <w:t>X</w:t>
      </w:r>
      <w:r w:rsidRPr="00CA0CDB">
        <w:rPr>
          <w:rFonts w:ascii="Arial" w:eastAsia="Times New Roman" w:hAnsi="Arial" w:cs="Arial"/>
          <w:sz w:val="10"/>
          <w:szCs w:val="10"/>
        </w:rPr>
        <w:t xml:space="preserve"> emission standard of 250 ppmvd at 15 percent oxygen (O</w:t>
      </w:r>
      <w:r w:rsidRPr="00CA0CDB">
        <w:rPr>
          <w:rFonts w:ascii="Arial" w:eastAsia="Times New Roman" w:hAnsi="Arial" w:cs="Arial"/>
          <w:sz w:val="7"/>
          <w:szCs w:val="7"/>
          <w:vertAlign w:val="subscript"/>
        </w:rPr>
        <w:t>2</w:t>
      </w:r>
      <w:r w:rsidRPr="00CA0CDB">
        <w:rPr>
          <w:rFonts w:ascii="Arial" w:eastAsia="Times New Roman" w:hAnsi="Arial" w:cs="Arial"/>
          <w:sz w:val="10"/>
          <w:szCs w:val="10"/>
        </w:rPr>
        <w:t xml:space="preserve"> ), a CO emission standard 540 ppmvd at 15 percent O</w:t>
      </w:r>
      <w:r w:rsidRPr="00CA0CDB">
        <w:rPr>
          <w:rFonts w:ascii="Arial" w:eastAsia="Times New Roman" w:hAnsi="Arial" w:cs="Arial"/>
          <w:sz w:val="7"/>
          <w:szCs w:val="7"/>
          <w:vertAlign w:val="subscript"/>
        </w:rPr>
        <w:t>2</w:t>
      </w:r>
      <w:r w:rsidRPr="00CA0CDB">
        <w:rPr>
          <w:rFonts w:ascii="Arial" w:eastAsia="Times New Roman" w:hAnsi="Arial" w:cs="Arial"/>
          <w:sz w:val="10"/>
          <w:szCs w:val="10"/>
        </w:rPr>
        <w:t xml:space="preserve"> (675 ppmvd at 15 percent O</w:t>
      </w:r>
      <w:r w:rsidRPr="00CA0CDB">
        <w:rPr>
          <w:rFonts w:ascii="Arial" w:eastAsia="Times New Roman" w:hAnsi="Arial" w:cs="Arial"/>
          <w:sz w:val="7"/>
          <w:szCs w:val="7"/>
          <w:vertAlign w:val="subscript"/>
        </w:rPr>
        <w:t>2</w:t>
      </w:r>
      <w:r w:rsidRPr="00CA0CDB">
        <w:rPr>
          <w:rFonts w:ascii="Arial" w:eastAsia="Times New Roman" w:hAnsi="Arial" w:cs="Arial"/>
          <w:sz w:val="10"/>
          <w:szCs w:val="10"/>
        </w:rPr>
        <w:t xml:space="preserve"> for non-emergency engines less than 100 HP), and a VOC emission standard of 86 ppmvd at 15 percent O</w:t>
      </w:r>
      <w:r w:rsidRPr="00CA0CDB">
        <w:rPr>
          <w:rFonts w:ascii="Arial" w:eastAsia="Times New Roman" w:hAnsi="Arial" w:cs="Arial"/>
          <w:sz w:val="7"/>
          <w:szCs w:val="7"/>
          <w:vertAlign w:val="subscript"/>
        </w:rPr>
        <w:t>2</w:t>
      </w:r>
      <w:r w:rsidRPr="00CA0CDB">
        <w:rPr>
          <w:rFonts w:ascii="Arial" w:eastAsia="Times New Roman" w:hAnsi="Arial" w:cs="Arial"/>
          <w:sz w:val="10"/>
          <w:szCs w:val="10"/>
        </w:rPr>
        <w:t xml:space="preserve"> , where the date of manufacture of the engine is: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Prior to July 1, 2007, for non-emergency engines with a maximum engine power greater than or equal to 500 HP (except lean burn natural gas engines and LPG engines with a maximum engine power greater than or equal to 500 HP and less than 1,350 HP);</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gramStart"/>
      <w:r w:rsidRPr="00CA0CDB">
        <w:rPr>
          <w:rFonts w:ascii="Arial" w:eastAsia="Times New Roman" w:hAnsi="Arial" w:cs="Arial"/>
          <w:sz w:val="10"/>
          <w:szCs w:val="10"/>
        </w:rPr>
        <w:t>ii</w:t>
      </w:r>
      <w:proofErr w:type="gramEnd"/>
      <w:r w:rsidRPr="00CA0CDB">
        <w:rPr>
          <w:rFonts w:ascii="Arial" w:eastAsia="Times New Roman" w:hAnsi="Arial" w:cs="Arial"/>
          <w:sz w:val="10"/>
          <w:szCs w:val="10"/>
        </w:rPr>
        <w:t>) Prior to July 1, 2008, for non-emergency engines with a maximum engine power less than 500 HP;</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gramStart"/>
      <w:r w:rsidRPr="00CA0CDB">
        <w:rPr>
          <w:rFonts w:ascii="Arial" w:eastAsia="Times New Roman" w:hAnsi="Arial" w:cs="Arial"/>
          <w:sz w:val="10"/>
          <w:szCs w:val="10"/>
        </w:rPr>
        <w:t>iii</w:t>
      </w:r>
      <w:proofErr w:type="gramEnd"/>
      <w:r w:rsidRPr="00CA0CDB">
        <w:rPr>
          <w:rFonts w:ascii="Arial" w:eastAsia="Times New Roman" w:hAnsi="Arial" w:cs="Arial"/>
          <w:sz w:val="10"/>
          <w:szCs w:val="10"/>
        </w:rPr>
        <w:t>) Prior to January 1, 2009, for emergency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gramStart"/>
      <w:r w:rsidRPr="00CA0CDB">
        <w:rPr>
          <w:rFonts w:ascii="Arial" w:eastAsia="Times New Roman" w:hAnsi="Arial" w:cs="Arial"/>
          <w:sz w:val="10"/>
          <w:szCs w:val="10"/>
        </w:rPr>
        <w:t>(iv) Prior</w:t>
      </w:r>
      <w:proofErr w:type="gramEnd"/>
      <w:r w:rsidRPr="00CA0CDB">
        <w:rPr>
          <w:rFonts w:ascii="Arial" w:eastAsia="Times New Roman" w:hAnsi="Arial" w:cs="Arial"/>
          <w:sz w:val="10"/>
          <w:szCs w:val="10"/>
        </w:rPr>
        <w:t xml:space="preserve"> to January 1, 2008, for non-emergency lean burn natural gas engines and LPG engines with a maximum engine power greater than or equal to 500 HP and less than 1,350 HP.</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(5) 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 Engines with maximum engine power less than 500 HP and a date of manufacture prior to July 1, 2008 must comply with the emission standards specified in paragraph (e) of this section for stationary landfill/digester gas ICE with a maximum engine power less than 500 HP manufactured on July 1, 2008. Engines with a maximum engine power greater than or equal to 500 HP (except lean burn engines greater than or equal to 500 HP and less than 1,350 HP) and a date of manufacture prior to July 1, 2007 must comply with the emission standards specified in paragraph (e) of this section for stationary landfill/digester gas ICE with a maximum engine power greater than or equal to 500 HP (except lean burn engines greater than or equal to 500 HP and less than 1,350 HP) manufactured on July 1, 2007. Lean burn engines greater than or equal to 500 HP and less than 1,350 HP with a date of manufacture prior to January 1, 2008 must comply with the emission standards specified in paragraph (e) of this section for stationary landfill/digester gas ICE that are lean burn engines greater than or equal to 500 HP and less than 1,350 HP and manufactured on January 1, 2008.</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(g) 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 The request must, at a minimum, demonstrate that the fuel has high sulfur levels that prevent the use of </w:t>
      </w:r>
      <w:proofErr w:type="spellStart"/>
      <w:r w:rsidRPr="00CA0CDB">
        <w:rPr>
          <w:rFonts w:ascii="Arial" w:eastAsia="Times New Roman" w:hAnsi="Arial" w:cs="Arial"/>
          <w:sz w:val="10"/>
          <w:szCs w:val="10"/>
        </w:rPr>
        <w:t>aftertreatment</w:t>
      </w:r>
      <w:proofErr w:type="spellEnd"/>
      <w:r w:rsidRPr="00CA0CDB">
        <w:rPr>
          <w:rFonts w:ascii="Arial" w:eastAsia="Times New Roman" w:hAnsi="Arial" w:cs="Arial"/>
          <w:sz w:val="10"/>
          <w:szCs w:val="10"/>
        </w:rPr>
        <w:t xml:space="preserve"> controls and also that the owner has reasonably made all attempts possible to obtain an engine that will meet the standards without the use of </w:t>
      </w:r>
      <w:proofErr w:type="spellStart"/>
      <w:r w:rsidRPr="00CA0CDB">
        <w:rPr>
          <w:rFonts w:ascii="Arial" w:eastAsia="Times New Roman" w:hAnsi="Arial" w:cs="Arial"/>
          <w:sz w:val="10"/>
          <w:szCs w:val="10"/>
        </w:rPr>
        <w:t>aftertreatment</w:t>
      </w:r>
      <w:proofErr w:type="spellEnd"/>
      <w:r w:rsidRPr="00CA0CDB">
        <w:rPr>
          <w:rFonts w:ascii="Arial" w:eastAsia="Times New Roman" w:hAnsi="Arial" w:cs="Arial"/>
          <w:sz w:val="10"/>
          <w:szCs w:val="10"/>
        </w:rPr>
        <w:t xml:space="preserve"> controls. The petition must request the most stringent standards reasonably applicable to the engine using the fuel.</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(h) Owners and operators of stationary SI ICE that are required to meet standards that reference 40 CFR 1048.101 must, if testing their engines in use, meet the standards in that section applicable to field testing, except as indicated in paragraph (e) of this section.</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[73 FR 3591, Jan. 18, 2008, as amended at 76 FR 37973, June 28, 2011]</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8" w:name="40:7.0.1.1.1.98.257.5"/>
      <w:bookmarkEnd w:id="8"/>
      <w:r w:rsidRPr="00CA0CDB">
        <w:rPr>
          <w:rFonts w:ascii="Arial" w:eastAsia="Times New Roman" w:hAnsi="Arial" w:cs="Arial"/>
          <w:b/>
          <w:bCs/>
          <w:sz w:val="10"/>
          <w:szCs w:val="10"/>
        </w:rPr>
        <w:t>§ 60.4234   </w:t>
      </w:r>
      <w:proofErr w:type="gramStart"/>
      <w:r w:rsidRPr="00CA0CDB">
        <w:rPr>
          <w:rFonts w:ascii="Arial" w:eastAsia="Times New Roman" w:hAnsi="Arial" w:cs="Arial"/>
          <w:b/>
          <w:bCs/>
          <w:sz w:val="10"/>
          <w:szCs w:val="10"/>
        </w:rPr>
        <w:t>How</w:t>
      </w:r>
      <w:proofErr w:type="gramEnd"/>
      <w:r w:rsidRPr="00CA0CDB">
        <w:rPr>
          <w:rFonts w:ascii="Arial" w:eastAsia="Times New Roman" w:hAnsi="Arial" w:cs="Arial"/>
          <w:b/>
          <w:bCs/>
          <w:sz w:val="10"/>
          <w:szCs w:val="10"/>
        </w:rPr>
        <w:t xml:space="preserve"> long must I meet the emission standards if I am an owner or operator of a stationary SI internal combustion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Owners and operators of stationary SI ICE must operate and maintain stationary SI ICE that achieve the emission standards as required in § 60.4233 over the entire life of the engine.</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9" w:name="40:7.0.1.1.1.98.258"/>
      <w:bookmarkEnd w:id="9"/>
      <w:r w:rsidRPr="00CA0CDB">
        <w:rPr>
          <w:rFonts w:ascii="Arial" w:eastAsia="Times New Roman" w:hAnsi="Arial" w:cs="Arial"/>
          <w:b/>
          <w:bCs/>
          <w:sz w:val="10"/>
          <w:szCs w:val="10"/>
        </w:rPr>
        <w:t>Other Requirements for Owners and Operators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10" w:name="40:7.0.1.1.1.98.258.6"/>
      <w:bookmarkEnd w:id="10"/>
      <w:r w:rsidRPr="00CA0CDB">
        <w:rPr>
          <w:rFonts w:ascii="Arial" w:eastAsia="Times New Roman" w:hAnsi="Arial" w:cs="Arial"/>
          <w:b/>
          <w:bCs/>
          <w:sz w:val="10"/>
          <w:szCs w:val="10"/>
        </w:rPr>
        <w:t>§ 60.4235   What fuel requirements must I meet if I am an owner or operator of a stationary SI gasoline fired internal combustion engine subject to this subpart?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Owners and operators of stationary SI ICE subject to this subpart that use gasoline must use gasoline that meets the per gallon sulfur limit in 40 CFR 80.195.</w:t>
      </w:r>
    </w:p>
    <w:p w:rsidR="0011487A" w:rsidRDefault="0011487A">
      <w:pPr>
        <w:rPr>
          <w:rFonts w:ascii="Arial" w:eastAsia="Times New Roman" w:hAnsi="Arial" w:cs="Arial"/>
          <w:b/>
          <w:bCs/>
          <w:sz w:val="10"/>
          <w:szCs w:val="10"/>
        </w:rPr>
      </w:pPr>
      <w:bookmarkStart w:id="11" w:name="40:7.0.1.1.1.98.258.7"/>
      <w:bookmarkEnd w:id="11"/>
      <w:r>
        <w:rPr>
          <w:rFonts w:ascii="Arial" w:eastAsia="Times New Roman" w:hAnsi="Arial" w:cs="Arial"/>
          <w:b/>
          <w:bCs/>
          <w:sz w:val="10"/>
          <w:szCs w:val="10"/>
        </w:rPr>
        <w:br w:type="page"/>
      </w:r>
    </w:p>
    <w:p w:rsidR="00CA0CDB" w:rsidRPr="00CA0CDB" w:rsidRDefault="00CA0CDB" w:rsidP="00CA0CDB">
      <w:pPr>
        <w:spacing w:before="200" w:after="100" w:line="240" w:lineRule="auto"/>
        <w:outlineLvl w:val="1"/>
        <w:rPr>
          <w:rFonts w:ascii="Arial" w:eastAsia="Times New Roman" w:hAnsi="Arial" w:cs="Arial"/>
          <w:b/>
          <w:bCs/>
          <w:sz w:val="10"/>
          <w:szCs w:val="10"/>
        </w:rPr>
      </w:pPr>
      <w:r w:rsidRPr="00CA0CDB">
        <w:rPr>
          <w:rFonts w:ascii="Arial" w:eastAsia="Times New Roman" w:hAnsi="Arial" w:cs="Arial"/>
          <w:b/>
          <w:bCs/>
          <w:sz w:val="10"/>
          <w:szCs w:val="10"/>
        </w:rPr>
        <w:t>§ 60.4236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is the deadline for importing or installing stationary SI ICE produced in previous model years?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 After July 1, 2010, owners and operators may not install stationary SI ICE with a maximum engine power of less than 500 HP that do not meet the applicable requirements in § 60.4233.</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(b) After July 1, 2009, owners and operators may not install stationary SI ICE with a maximum engine power of greater than or equal to 500 HP that do not meet the applicable requirements in § 60.4233, except that lean burn engines with a maximum engine power greater than or equal to 500 HP and less than 1,350 HP that do not meet the applicable requirements in § 60.4233 may not be installed after January 1, 2010.</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For emergency stationary SI ICE with a maximum engine power of greater than 19 KW (25 HP), owners and operators may not install engines that do not meet the applicable requirements in § 60.4233 after January 1, 2011.</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(d) In addition to the requirements specified in §§ 60.4231 and 60.4233, it is prohibited to import stationary SI ICE less than or equal to 19 KW (25 HP), stationary rich burn LPG SI ICE, and stationary gasoline SI ICE that do not meet the applicable requirements specified in paragraphs (a), (b), and (c) of this section, after the date specified in paragraph (a), (b), and (c)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(e) The requirements of this section do not apply to owners and operators of stationary SI ICE that have been modified or reconstructed, and they do not apply to engines that were removed from one existing location and reinstalled at a new location.</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12" w:name="40:7.0.1.1.1.98.258.8"/>
      <w:bookmarkEnd w:id="12"/>
      <w:r w:rsidRPr="00CA0CDB">
        <w:rPr>
          <w:rFonts w:ascii="Arial" w:eastAsia="Times New Roman" w:hAnsi="Arial" w:cs="Arial"/>
          <w:b/>
          <w:bCs/>
          <w:sz w:val="10"/>
          <w:szCs w:val="10"/>
        </w:rPr>
        <w:t>§ 60.4237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are the monitoring requirements if I am an owner or operator of an emergency stationary SI internal combustion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 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(b) 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13" w:name="40:7.0.1.1.1.98.259"/>
      <w:bookmarkEnd w:id="13"/>
      <w:r w:rsidRPr="00CA0CDB">
        <w:rPr>
          <w:rFonts w:ascii="Arial" w:eastAsia="Times New Roman" w:hAnsi="Arial" w:cs="Arial"/>
          <w:b/>
          <w:bCs/>
          <w:sz w:val="10"/>
          <w:szCs w:val="10"/>
        </w:rPr>
        <w:t>Compliance Requirements for Manufacturers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14" w:name="40:7.0.1.1.1.98.259.9"/>
      <w:bookmarkEnd w:id="14"/>
      <w:r w:rsidRPr="00CA0CDB">
        <w:rPr>
          <w:rFonts w:ascii="Arial" w:eastAsia="Times New Roman" w:hAnsi="Arial" w:cs="Arial"/>
          <w:b/>
          <w:bCs/>
          <w:sz w:val="10"/>
          <w:szCs w:val="10"/>
        </w:rPr>
        <w:t>§ 60.4238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are my compliance requirements if I am a manufacturer of stationary SI internal combustion engines ≤19 KW (25 HP) or a manufacturer of equipment containing such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Stationary SI internal combustion engine manufacturers who are subject to the emission standards specified in § 60.4231(a)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1054 must meet the provisions of 40 CFR part 1060, subpart C, to the extent they apply to equipment manufacturers.</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[73 FR 59176, Oct. 8, 2008]</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15" w:name="40:7.0.1.1.1.98.259.10"/>
      <w:bookmarkEnd w:id="15"/>
      <w:r w:rsidRPr="00CA0CDB">
        <w:rPr>
          <w:rFonts w:ascii="Arial" w:eastAsia="Times New Roman" w:hAnsi="Arial" w:cs="Arial"/>
          <w:b/>
          <w:bCs/>
          <w:sz w:val="10"/>
          <w:szCs w:val="10"/>
        </w:rPr>
        <w:t>§ 60.4239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are my compliance requirements if I am a manufacturer of stationary SI internal combustion engines &gt;19 KW (25 HP) that use gasoline or a manufacturer of equipment containing such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Stationary SI internal combustion engine manufacturers who are subject to the emission standards specified in § 60.4231(b)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1054 must meet the provisions of 40 CFR part 1060, subpart C, to the extent they apply to equipment manufacturers.</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[73 FR 59176, Oct. 8, 2008]</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16" w:name="40:7.0.1.1.1.98.259.11"/>
      <w:bookmarkEnd w:id="16"/>
      <w:r w:rsidRPr="00CA0CDB">
        <w:rPr>
          <w:rFonts w:ascii="Arial" w:eastAsia="Times New Roman" w:hAnsi="Arial" w:cs="Arial"/>
          <w:b/>
          <w:bCs/>
          <w:sz w:val="10"/>
          <w:szCs w:val="10"/>
        </w:rPr>
        <w:t>§ 60.4240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are my compliance requirements if I am a manufacturer of stationary SI internal combustion engines &gt;19 KW (25 HP) that are rich burn engines that use LPG or a manufacturer of equipment containing such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Stationary SI internal combustion engine manufacturers who are subject to the emission standards specified in § 60.4231(c)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1054 must meet the provisions of 40 CFR part 1060, subpart C, to the extent they apply to equipment manufacturers.</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[73 FR 59176, Oct. 8, 2008]</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17" w:name="40:7.0.1.1.1.98.259.12"/>
      <w:bookmarkEnd w:id="17"/>
      <w:r w:rsidRPr="00CA0CDB">
        <w:rPr>
          <w:rFonts w:ascii="Arial" w:eastAsia="Times New Roman" w:hAnsi="Arial" w:cs="Arial"/>
          <w:b/>
          <w:bCs/>
          <w:sz w:val="10"/>
          <w:szCs w:val="10"/>
        </w:rPr>
        <w:t>§ 60.4241   What are my compliance requirements if I am a manufacturer of stationary SI internal combustion engines participating in the voluntary certification program or a manufacturer of equipment containing such engines?</w:t>
      </w:r>
    </w:p>
    <w:p w:rsidR="0011487A"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 Manufacturers of stationary SI internal combustion engines with a maximum engine power greater than 19 KW (25 HP) that do not use gasoline and are not rich burn engines that use LPG can choose to certify their engines to the emission standards in § 60.4231(d) or (e), as applicable, under the voluntary certification program described in this subpart. Manufacturers who certify their engines under the voluntary certification program must meet the requirements as specified in paragraphs (b) through (g) of this section. In addition, manufacturers of stationary SI internal combustion engines who choose to certify their engines under the voluntary certification program, must also meet the requirements as specified in § 60.4247.</w:t>
      </w:r>
    </w:p>
    <w:p w:rsidR="0011487A" w:rsidRDefault="0011487A">
      <w:pPr>
        <w:rPr>
          <w:rFonts w:ascii="Arial" w:eastAsia="Times New Roman" w:hAnsi="Arial" w:cs="Arial"/>
          <w:sz w:val="10"/>
          <w:szCs w:val="10"/>
        </w:rPr>
      </w:pPr>
      <w:r>
        <w:rPr>
          <w:rFonts w:ascii="Arial" w:eastAsia="Times New Roman" w:hAnsi="Arial" w:cs="Arial"/>
          <w:sz w:val="10"/>
          <w:szCs w:val="10"/>
        </w:rPr>
        <w:br w:type="page"/>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(b) Manufacturers of engines other than those certified to standards in 40 CFR part 90 or 40 CFR part 1054 must certify their stationary SI ICE using the certification procedures required in 40 CFR part 1048, subpart C, and must follow the same test procedures that apply to large SI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engines under 40 CFR part 1048, but must use the D-1 cycle of International Organization of Standardization 8178-4: 1996(E) (incorporated by reference, see 40 CFR 60.17) or the test cycle requirements specified in Table 3 to 40 CFR 1048.505, except that Table 3 of 40 CFR 1048.505 applies to high load engines only.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SI engines in 40 CFR part 90 or 40 CFR part 1054, and manufacturers of emergency engines that are greater than 25 HP and less than 130 HP who meet the Phase 1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1054 must meet the provisions of 40 CFR part 1060, subpart C, to the extent they apply to equipment manufacturers.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Certification of stationary SI ICE to the emission standards specified in § 60.4231(d) or (e), as applicable, is voluntary, but manufacturers who decide to certify are subject to all of the requirements indicated in this subpart with regard to the engines included in their certification. Manufacturers must clearly label their stationary SI engines as certified or non-certified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(d) Manufacturers of natural gas fired stationary SI ICE who conduct voluntary certification of stationary SI ICE to the emission standards specified in § 60.4231(d) or (e), as applicable, must certify their engines for operation using fuel that meets the definition of pipeline-quality natural gas. The fuel used for certifying stationary SI natural gas engines must meet the definition of pipeline-quality natural gas as described in § 60.4248. In addition, the manufacturer must provide information to the owner and operator of the certified stationary SI engine including the specifications of the pipeline-quality natural gas to which the engine is certified and what adjustments the owner or operator must make to the engine when installed in the field to ensure compliance with the emission standards.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(e) Manufacturers of stationary SI ICE that are lean burn engines fueled by LPG who conduct voluntary certification of stationary SI ICE to the emission standards specified in § 60.4231(d) or (e), as applicable, must certify their engines for operation using fuel that meets the specifications in 40 CFR 1065.720.</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(f) Manufacturers may certify their engines for operation using gaseous fuels in addition to pipeline-quality natural gas; however, the manufacturer must specify the properties of that fuel and provide testing information showing that the engine will meet the emission standards specified in § 60.4231(d) or (e), as applicable, when operating on that fuel. The manufacturer must also provide instructions for configuring the stationary engine to meet the emission standards on fuels that do not meet the pipeline-quality natural gas definition. The manufacturer must also provide information to the owner and operator of the certified stationary SI engine regarding the configuration that is most conducive to reduced emissions where the engine will be operated on gaseous fuels with different quality than the fuel that it was certified to.</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(g) A stationary SI engine manufacturer may certify an engine family solely to the standards applicable to landfill/digester gas engines as specified in § 60.4231(d) or (e), as applicable, but must certify their engines for operation using landfill/digester gas and must add a permanent label stating that the engine is for use only in landfill/digester gas applications. The label must be added according to the labeling requirements specified in 40 CFR 1048.135(b).</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(h) For purposes of this subpart, when calculating emissions of volatile organic compounds, emissions of formaldehyde should not be included.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xml:space="preserve">) For engines being certified to the voluntary certification standards in Table 1 of this subpart, the VOC measurement shall be made by following the procedures in 40 CFR 1065.260 and 1065.265 in order to determine the total NMHC emissions by using a flame-ionization detector and non-methane cutter. As an alternative to the </w:t>
      </w:r>
      <w:proofErr w:type="spellStart"/>
      <w:r w:rsidRPr="00CA0CDB">
        <w:rPr>
          <w:rFonts w:ascii="Arial" w:eastAsia="Times New Roman" w:hAnsi="Arial" w:cs="Arial"/>
          <w:sz w:val="10"/>
          <w:szCs w:val="10"/>
        </w:rPr>
        <w:t>nonmethane</w:t>
      </w:r>
      <w:proofErr w:type="spellEnd"/>
      <w:r w:rsidRPr="00CA0CDB">
        <w:rPr>
          <w:rFonts w:ascii="Arial" w:eastAsia="Times New Roman" w:hAnsi="Arial" w:cs="Arial"/>
          <w:sz w:val="10"/>
          <w:szCs w:val="10"/>
        </w:rPr>
        <w:t xml:space="preserve"> cutter, manufacturers may use a gas chromatograph as allowed under 40 CFR 1065.267 and may measure ethane, as well as methane, for excluding such levels from the total VOC measurement.</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[73 FR 3591, Jan. 18, 2008, as amended at 73 FR 59176, Oct. 8, 2008; 76 FR 37974, June 28, 2011]</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18" w:name="40:7.0.1.1.1.98.259.13"/>
      <w:bookmarkEnd w:id="18"/>
      <w:r w:rsidRPr="00CA0CDB">
        <w:rPr>
          <w:rFonts w:ascii="Arial" w:eastAsia="Times New Roman" w:hAnsi="Arial" w:cs="Arial"/>
          <w:b/>
          <w:bCs/>
          <w:sz w:val="10"/>
          <w:szCs w:val="10"/>
        </w:rPr>
        <w:t>§ 60.4242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other requirements must I meet if I am a manufacturer of stationary SI internal combustion engines or equipment containing stationary SI internal combustion engines or a manufacturer of equipment containing such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(a) Stationary SI internal combustion engine manufacturers must meet the provisions of 40 CFR part 90, 40 CFR part 1048, or 40 CFR part 1054, as applicable, as well as 40 CFR part 1068 for engines that are certified to the emission standards in 40 CFR part 1048 or 1054, except that engines certified pursuant to the voluntary certification procedures in § 60.4241 are subject only to the provisions indicated in § 60.4247 and are permitted to provide instructions to owners and operators allowing for deviations from certified configurations, if such deviations are consistent with the provisions of paragraphs § 60.4241(c) through (f). Manufacturers of equipment containing stationary SI internal combustion engines meeting the provisions of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1054 must meet the provisions of 40 CFR part 1060, as applicable. Labels on engines certified to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1048 must refer to stationary engines, rather than or in addition to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engines, as appropriate.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(b) An engine manufacturer certifying an engine family or families to standards under this subpart that are identical to standards applicable under 40 CFR part 90, 40 CFR part 1048, or 40 CFR part 1054 for that model year may certify any such family that contains both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and stationary engines as a single engine family and/or may include any such family containing stationary engines in the averaging, banking and trading provisions applicable for such engines under those parts. This provision also applies to equipment or component manufacturers certifying to standards under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1060.</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Manufacturers of engine families certified to 40 CFR part 1048 may meet the labeling requirements referred to in paragraph (a) of this section for stationary SI ICE by either adding a separate label containing the information required in paragraph (a) of this section or by adding the words “and stationary” after the word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to the label.</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(d) For all engines manufactured on or after January 1, 2011, and for all engines with a maximum engine power greater than 25 HP and less than 130 HP manufactured on or after July 1, 2008, a stationary SI engine manufacturer that certifies an engine family solely to the standards applicable to emergency engines must add a permanent label stating that the engines in that family are for emergency use only. The label must be added according to the labeling requirements specified in 40 CFR 1048.135(b).</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(e) All stationary SI engines subject to mandatory certification that do not meet the requirements of this subpart must be labeled according to 40 CFR 1068.230 and must be exported under the provisions of 40 CFR 1068.230. Stationary SI engines subject to standards in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90 may use the provisions in 40 CFR 90.909. Manufacturers of stationary engines with a maximum engine power greater than 25 HP that are not certified to standards and other requirements under 40 CFR part 1048 are subject to the labeling provisions of 40 CFR 1048.20 pertaining to excluded stationary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(f) For manufacturers of gaseous-fueled stationary engines required to meet the warranty provisions in 40 CFR 90.1103 or 1054.120, we may establish an hour-based warranty period equal to at least the certified emissions life of the engines (in engine operating hours) if we determine that these engines are likely to operate for a number of hours greater than the applicable useful life within 24 months. We will not approve an alternate warranty under this paragraph (f) for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engines. An alternate warranty period approved under this paragraph (f) will be the specified number of engine operating hours or two years, whichever comes first. The engine manufacturer shall request this alternate warranty period in its application for certification or in an earlier submission. We may approve an alternate warranty period for an engine family subject to the following conditions: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The engines must be equipped with non-resettable hour meters.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The engines must be designed to operate for a number of hours substantially greater than the applicable certified emissions life.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(3) The emission-related warranty for the engines may not be shorter than any published warranty offered by the manufacturer without charge for the engines. Similarly, the emission-related warranty for any component shall not be shorter than any published warranty offered by the manufacturer without charge for that component.</w:t>
      </w:r>
    </w:p>
    <w:p w:rsidR="0011487A" w:rsidRDefault="00CA0CDB" w:rsidP="00A968D7">
      <w:pPr>
        <w:spacing w:before="200" w:after="100" w:afterAutospacing="1" w:line="240" w:lineRule="auto"/>
        <w:rPr>
          <w:rFonts w:ascii="Arial" w:eastAsia="Times New Roman" w:hAnsi="Arial" w:cs="Arial"/>
          <w:b/>
          <w:bCs/>
          <w:sz w:val="10"/>
          <w:szCs w:val="10"/>
        </w:rPr>
      </w:pPr>
      <w:r w:rsidRPr="00CA0CDB">
        <w:rPr>
          <w:rFonts w:ascii="Arial" w:eastAsia="Times New Roman" w:hAnsi="Arial" w:cs="Arial"/>
          <w:sz w:val="10"/>
          <w:szCs w:val="10"/>
        </w:rPr>
        <w:t>[73 FR 3591, Jan. 18, 2008, as amended at 73 FR 59177, Oct. 8, 2008]</w:t>
      </w:r>
      <w:bookmarkStart w:id="19" w:name="40:7.0.1.1.1.98.260"/>
      <w:bookmarkEnd w:id="19"/>
      <w:r w:rsidR="0011487A">
        <w:rPr>
          <w:rFonts w:ascii="Arial" w:eastAsia="Times New Roman" w:hAnsi="Arial" w:cs="Arial"/>
          <w:b/>
          <w:bCs/>
          <w:sz w:val="10"/>
          <w:szCs w:val="10"/>
        </w:rPr>
        <w:br w:type="page"/>
      </w:r>
    </w:p>
    <w:p w:rsidR="00CA0CDB" w:rsidRPr="00CA0CDB" w:rsidRDefault="00CA0CDB" w:rsidP="00CA0CDB">
      <w:pPr>
        <w:spacing w:before="200" w:after="100" w:line="240" w:lineRule="auto"/>
        <w:outlineLvl w:val="1"/>
        <w:rPr>
          <w:rFonts w:ascii="Arial" w:eastAsia="Times New Roman" w:hAnsi="Arial" w:cs="Arial"/>
          <w:b/>
          <w:bCs/>
          <w:sz w:val="10"/>
          <w:szCs w:val="10"/>
        </w:rPr>
      </w:pPr>
      <w:r w:rsidRPr="00CA0CDB">
        <w:rPr>
          <w:rFonts w:ascii="Arial" w:eastAsia="Times New Roman" w:hAnsi="Arial" w:cs="Arial"/>
          <w:b/>
          <w:bCs/>
          <w:sz w:val="10"/>
          <w:szCs w:val="10"/>
        </w:rPr>
        <w:t>Compliance Requirements for Owners and Operators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0" w:name="40:7.0.1.1.1.98.260.14"/>
      <w:bookmarkEnd w:id="20"/>
      <w:r w:rsidRPr="00CA0CDB">
        <w:rPr>
          <w:rFonts w:ascii="Arial" w:eastAsia="Times New Roman" w:hAnsi="Arial" w:cs="Arial"/>
          <w:b/>
          <w:bCs/>
          <w:sz w:val="10"/>
          <w:szCs w:val="10"/>
        </w:rPr>
        <w:t>§ 60.4243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are my compliance requirements if I am an owner or operator of a stationary SI internal combustion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 If you are an owner or operator of a stationary SI internal combustion engine that is manufactured after July 1, 2008, and must comply with the emission standards specified in § 60.4233(a) through (c), you must comply by purchasing an engine certified to the emission standards in § 60.4231(a) through (c), as applicable, for the same engine class and maximum engine power. In addition, you must meet one of the requirements specified in (a</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1) and (2)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(1) 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1068, subparts A through D, as they apply to you. If you adjust engine settings according to and consistent with the manufacturer's instructions, </w:t>
      </w:r>
      <w:proofErr w:type="gramStart"/>
      <w:r w:rsidRPr="00CA0CDB">
        <w:rPr>
          <w:rFonts w:ascii="Arial" w:eastAsia="Times New Roman" w:hAnsi="Arial" w:cs="Arial"/>
          <w:sz w:val="10"/>
          <w:szCs w:val="10"/>
        </w:rPr>
        <w:t>your</w:t>
      </w:r>
      <w:proofErr w:type="gramEnd"/>
      <w:r w:rsidRPr="00CA0CDB">
        <w:rPr>
          <w:rFonts w:ascii="Arial" w:eastAsia="Times New Roman" w:hAnsi="Arial" w:cs="Arial"/>
          <w:sz w:val="10"/>
          <w:szCs w:val="10"/>
        </w:rPr>
        <w:t xml:space="preserve"> stationary SI internal combustion engine will not be considered out of compliance.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through (iii) of this section, as appropriate.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 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and conduct subsequent performance testing every 8,760 hours or 3 years, whichever comes first, thereafter to demonstrate compliance.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(b) If you are an owner or operator of a stationary SI internal combustion engine and must comply with the emission standards specified in § 60.4233(d) or (e), you must demonstrate compliance according to one of the methods specified in paragraphs (b)(1) and (2)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Purchasing an engine certified according to procedures specified in this subpart, for the same model year and demonstrating compliance according to one of the methods specified in paragraph (a)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Purchasing a non-certified engine and demonstrating compliance with the emission standards specified in § 60.4233(d) or (e) and according to the requirements specified in § 60.4244, as applicable, and according to paragraphs (b</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2)(</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and (ii)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If you are an owner or operator of a stationary SI internal combustion engine greater than 25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and conduct subsequent performance testing every 8,760 hours or 3 years, whichever comes first, thereafter to demonstrate compliance.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If you are an owner or operator of a stationary SI internal combustion engine that must comply with the emission standards specified in § 60.4233(f), you must demonstrate compliance according paragraph (b</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2)(</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or (ii) of this section, except that if you comply according to paragraph (b)(2)(</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of this section, you demonstrate that your non-certified engine complies with the emission standards specified in § 60.4233(f).</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(d) If you own or operate an emergency stationary ICE, you must operate the emergency stationary ICE according to the requirements in paragraphs (d</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(d)(1) through (3) of this section, is prohibited. If you do not operate the engine according to the requirements in paragraphs (d</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1) through (3) of this section, the engine will not be considered an emergency engine under this subpart and must meet all requirements for non-emergency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There is no time limit on the use of emergency stationary ICE in emergency situations.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You may operate your emergency stationary ICE for any combination of the purposes specified in paragraphs (d</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2)(</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through (iii) of this section for a maximum of 100 hours per calendar year. Any operation for non-emergency situations as allowed by paragraph (d)(3) of this section counts as part of the 100 hours per calendar year allowed by this paragraph (d)(2).</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(iii) Emergency stationary ICE may be operated for periods where there is a deviation of voltage or frequency of 5 percent or greater below standard voltage or frequency.</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(d)(2) of this section. Except as provided in paragraph (d)(3)(</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The 50 hours per year for non-emergency situations can be used to supply power as part of a financial arrangement with another entity if all of the following conditions are met: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 The engine is dispatched by the local balancing authority or local transmission and distribution system operator;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(B) The dispatch is intended to mitigate local transmission and/or distribution limitations so as to avert potential voltage collapse or line overloads that could lead to the interruption of power supply in a local area or region.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The dispatch follows reliability, emergency operation or similar protocols that follow specific NERC, regional, state, public utility commission or local standards or guidelines.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(D) The power is provided only to the facility itself or to support the local transmission and distribution system.</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 [Reserved]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(e) Owners and operators of stationary SI natural gas fired engines may operate their engines using propane for a maximum of 100 hours per year as an alternative fuel solely during emergency operations, but must keep records of such use. If propane is used for more than 100 hours per year in an engine that is not certified to the emission standards when using propane, the owners and operators are required to conduct a performance test to demonstrate compliance with the emission standards of § 60.4233.</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(f) 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repair or maintenance. A rebuilt stationary SI ICE means an engine that has been rebuilt as that term is defined in 40 CFR 94.11(a).</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(g) 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(h) 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1) through (h)(4)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(1) Purchasing an engine certified according to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1048. The engine must be installed and configured according to the manufacturer's specifications.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Keeping records of performance test results for each pollutant for a test conducted on a similar engine. The test must have been conducted using the same methods specified in this subpart and these methods must have been followed correctly.</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(3) Keeping records of engine manufacturer data indicating compliance with the standards.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(4) Keeping records of control device vendor data indicating compliance with the standards.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If you are an owner or operator of a modified or reconstructed stationary SI internal combustion engine and must comply with the emission standards specified in § 60.4233(f), you must demonstrate compliance according to one of the methods specified in paragraphs (</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)(1) or (2)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Purchasing, or otherwise owning or operating, an engine certified to the emission standards in § 60.4233(f), as applicable.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Conducting a performance test to demonstrate initial compliance with the emission standards according to the requirements specified in § 60.4244. The test must be conducted within 60 days after the engine commences operation after the modification or reconstruction.</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[73 FR 3591, Jan. 18, 2008, as amended at 76 FR 37974, June 28, 2011; 78 FR 6697, Jan. 30, 2013]</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1" w:name="40:7.0.1.1.1.98.261"/>
      <w:bookmarkEnd w:id="21"/>
      <w:r w:rsidRPr="00CA0CDB">
        <w:rPr>
          <w:rFonts w:ascii="Arial" w:eastAsia="Times New Roman" w:hAnsi="Arial" w:cs="Arial"/>
          <w:b/>
          <w:bCs/>
          <w:sz w:val="10"/>
          <w:szCs w:val="10"/>
        </w:rPr>
        <w:t>Testing Requirements for Owners and Operators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2" w:name="40:7.0.1.1.1.98.261.15"/>
      <w:bookmarkEnd w:id="22"/>
      <w:r w:rsidRPr="00CA0CDB">
        <w:rPr>
          <w:rFonts w:ascii="Arial" w:eastAsia="Times New Roman" w:hAnsi="Arial" w:cs="Arial"/>
          <w:b/>
          <w:bCs/>
          <w:sz w:val="10"/>
          <w:szCs w:val="10"/>
        </w:rPr>
        <w:t>§ 60.4244   What test methods and other procedures must I use if I am an owner or operator of a stationary SI internal combustion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Owners and operators of stationary SI ICE who conduct performance tests must follow the procedures in paragraphs (a) through (f)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 Each performance test must be conducted within 10 percent of 100 percent peak (or the highest achievable) load and according to the requirements in § 60.8 and under the specific conditions that are specified by Table 2 to this subpart.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(b) You may not conduct performance tests during periods of startup, shutdown, or malfunction, as specified in § 60.8(c). If your stationary SI internal combustion engine is non-operational, you do not need to startup the engine solely to conduct a performance test; however, you must conduct the performance test immediately upon startup of the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You must conduct three separate test runs for each performance test required in this section, as specified in § 60.8(f). Each test run must be conducted within 10 percent of 100 percent peak (or the highest achievable) load and last at least 1 hour.</w:t>
      </w:r>
    </w:p>
    <w:p w:rsidR="0011487A" w:rsidRDefault="0011487A">
      <w:pPr>
        <w:rPr>
          <w:rFonts w:ascii="Arial" w:eastAsia="Times New Roman" w:hAnsi="Arial" w:cs="Arial"/>
          <w:sz w:val="10"/>
          <w:szCs w:val="10"/>
        </w:rPr>
      </w:pPr>
      <w:r>
        <w:rPr>
          <w:rFonts w:ascii="Arial" w:eastAsia="Times New Roman" w:hAnsi="Arial" w:cs="Arial"/>
          <w:sz w:val="10"/>
          <w:szCs w:val="10"/>
        </w:rPr>
        <w:br w:type="page"/>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(d) To determine compliance with the NO</w:t>
      </w:r>
      <w:r w:rsidRPr="00CA0CDB">
        <w:rPr>
          <w:rFonts w:ascii="Arial" w:eastAsia="Times New Roman" w:hAnsi="Arial" w:cs="Arial"/>
          <w:sz w:val="7"/>
          <w:szCs w:val="7"/>
          <w:vertAlign w:val="subscript"/>
        </w:rPr>
        <w:t>X</w:t>
      </w:r>
      <w:r w:rsidRPr="00CA0CDB">
        <w:rPr>
          <w:rFonts w:ascii="Arial" w:eastAsia="Times New Roman" w:hAnsi="Arial" w:cs="Arial"/>
          <w:sz w:val="10"/>
          <w:szCs w:val="10"/>
        </w:rPr>
        <w:t xml:space="preserve"> mass per unit output emission limitation, convert the concentration of NO</w:t>
      </w:r>
      <w:r w:rsidRPr="00CA0CDB">
        <w:rPr>
          <w:rFonts w:ascii="Arial" w:eastAsia="Times New Roman" w:hAnsi="Arial" w:cs="Arial"/>
          <w:sz w:val="7"/>
          <w:szCs w:val="7"/>
          <w:vertAlign w:val="subscript"/>
        </w:rPr>
        <w:t>X</w:t>
      </w:r>
      <w:r w:rsidRPr="00CA0CDB">
        <w:rPr>
          <w:rFonts w:ascii="Arial" w:eastAsia="Times New Roman" w:hAnsi="Arial" w:cs="Arial"/>
          <w:sz w:val="10"/>
          <w:szCs w:val="10"/>
        </w:rPr>
        <w:t xml:space="preserve"> in the engine exhaust using Equation 1 of this section:</w:t>
      </w:r>
    </w:p>
    <w:p w:rsidR="00CA0CDB" w:rsidRPr="00CA0CDB" w:rsidRDefault="00CA0CDB" w:rsidP="00CA0CDB">
      <w:pPr>
        <w:spacing w:after="0" w:line="240" w:lineRule="auto"/>
        <w:rPr>
          <w:rFonts w:ascii="Arial" w:eastAsia="Times New Roman" w:hAnsi="Arial" w:cs="Arial"/>
          <w:sz w:val="10"/>
          <w:szCs w:val="10"/>
        </w:rPr>
      </w:pPr>
      <w:r>
        <w:rPr>
          <w:rFonts w:ascii="Arial" w:eastAsia="Times New Roman" w:hAnsi="Arial" w:cs="Arial"/>
          <w:noProof/>
          <w:sz w:val="10"/>
          <w:szCs w:val="10"/>
        </w:rPr>
        <w:drawing>
          <wp:inline distT="0" distB="0" distL="0" distR="0">
            <wp:extent cx="2401570" cy="351790"/>
            <wp:effectExtent l="19050" t="0" r="0" b="0"/>
            <wp:docPr id="26" name="Picture 26" descr="eCFR graphic er18ja0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8ja08.000.gif"/>
                    <pic:cNvPicPr>
                      <a:picLocks noChangeAspect="1" noChangeArrowheads="1"/>
                    </pic:cNvPicPr>
                  </pic:nvPicPr>
                  <pic:blipFill>
                    <a:blip r:embed="rId7" cstate="print"/>
                    <a:srcRect/>
                    <a:stretch>
                      <a:fillRect/>
                    </a:stretch>
                  </pic:blipFill>
                  <pic:spPr bwMode="auto">
                    <a:xfrm>
                      <a:off x="0" y="0"/>
                      <a:ext cx="2401570" cy="351790"/>
                    </a:xfrm>
                    <a:prstGeom prst="rect">
                      <a:avLst/>
                    </a:prstGeom>
                    <a:noFill/>
                    <a:ln w="9525">
                      <a:noFill/>
                      <a:miter lim="800000"/>
                      <a:headEnd/>
                      <a:tailEnd/>
                    </a:ln>
                  </pic:spPr>
                </pic:pic>
              </a:graphicData>
            </a:graphic>
          </wp:inline>
        </w:drawing>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Where:</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ER = Emission rate of NO</w:t>
      </w:r>
      <w:r w:rsidRPr="00CA0CDB">
        <w:rPr>
          <w:rFonts w:ascii="Arial" w:eastAsia="Times New Roman" w:hAnsi="Arial" w:cs="Arial"/>
          <w:sz w:val="7"/>
          <w:szCs w:val="7"/>
          <w:vertAlign w:val="subscript"/>
        </w:rPr>
        <w:t>X</w:t>
      </w:r>
      <w:r w:rsidRPr="00CA0CDB">
        <w:rPr>
          <w:rFonts w:ascii="Arial" w:eastAsia="Times New Roman" w:hAnsi="Arial" w:cs="Arial"/>
          <w:sz w:val="10"/>
          <w:szCs w:val="10"/>
        </w:rPr>
        <w:t xml:space="preserve"> in g/HP-hr.</w:t>
      </w:r>
    </w:p>
    <w:p w:rsidR="00CA0CDB" w:rsidRPr="00CA0CDB" w:rsidRDefault="00CA0CDB" w:rsidP="00CA0CDB">
      <w:pPr>
        <w:spacing w:before="200" w:after="100" w:line="240" w:lineRule="auto"/>
        <w:ind w:left="960" w:hanging="960"/>
        <w:rPr>
          <w:rFonts w:ascii="Arial" w:eastAsia="Times New Roman" w:hAnsi="Arial" w:cs="Arial"/>
          <w:sz w:val="10"/>
          <w:szCs w:val="10"/>
        </w:rPr>
      </w:pPr>
      <w:proofErr w:type="spellStart"/>
      <w:r w:rsidRPr="00CA0CDB">
        <w:rPr>
          <w:rFonts w:ascii="Arial" w:eastAsia="Times New Roman" w:hAnsi="Arial" w:cs="Arial"/>
          <w:sz w:val="10"/>
          <w:szCs w:val="10"/>
        </w:rPr>
        <w:t>C</w:t>
      </w:r>
      <w:r w:rsidRPr="00CA0CDB">
        <w:rPr>
          <w:rFonts w:ascii="Arial" w:eastAsia="Times New Roman" w:hAnsi="Arial" w:cs="Arial"/>
          <w:sz w:val="7"/>
          <w:szCs w:val="7"/>
          <w:vertAlign w:val="subscript"/>
        </w:rPr>
        <w:t>d</w:t>
      </w:r>
      <w:proofErr w:type="spellEnd"/>
      <w:r w:rsidRPr="00CA0CDB">
        <w:rPr>
          <w:rFonts w:ascii="Arial" w:eastAsia="Times New Roman" w:hAnsi="Arial" w:cs="Arial"/>
          <w:sz w:val="10"/>
          <w:szCs w:val="10"/>
        </w:rPr>
        <w:t xml:space="preserve"> = Measured NO</w:t>
      </w:r>
      <w:r w:rsidRPr="00CA0CDB">
        <w:rPr>
          <w:rFonts w:ascii="Arial" w:eastAsia="Times New Roman" w:hAnsi="Arial" w:cs="Arial"/>
          <w:sz w:val="7"/>
          <w:szCs w:val="7"/>
          <w:vertAlign w:val="subscript"/>
        </w:rPr>
        <w:t>X</w:t>
      </w:r>
      <w:r w:rsidRPr="00CA0CDB">
        <w:rPr>
          <w:rFonts w:ascii="Arial" w:eastAsia="Times New Roman" w:hAnsi="Arial" w:cs="Arial"/>
          <w:sz w:val="10"/>
          <w:szCs w:val="10"/>
        </w:rPr>
        <w:t xml:space="preserve"> concentration in parts per million by volume (ppmv).</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1.912×10</w:t>
      </w:r>
      <w:r w:rsidRPr="00CA0CDB">
        <w:rPr>
          <w:rFonts w:ascii="Arial" w:eastAsia="Times New Roman" w:hAnsi="Arial" w:cs="Arial"/>
          <w:sz w:val="7"/>
          <w:szCs w:val="7"/>
          <w:vertAlign w:val="superscript"/>
        </w:rPr>
        <w:t>−3</w:t>
      </w:r>
      <w:r w:rsidRPr="00CA0CDB">
        <w:rPr>
          <w:rFonts w:ascii="Arial" w:eastAsia="Times New Roman" w:hAnsi="Arial" w:cs="Arial"/>
          <w:sz w:val="10"/>
          <w:szCs w:val="10"/>
        </w:rPr>
        <w:t xml:space="preserve"> = Conversion constant for ppm NO</w:t>
      </w:r>
      <w:r w:rsidRPr="00CA0CDB">
        <w:rPr>
          <w:rFonts w:ascii="Arial" w:eastAsia="Times New Roman" w:hAnsi="Arial" w:cs="Arial"/>
          <w:sz w:val="7"/>
          <w:szCs w:val="7"/>
          <w:vertAlign w:val="subscript"/>
        </w:rPr>
        <w:t>X</w:t>
      </w:r>
      <w:r w:rsidRPr="00CA0CDB">
        <w:rPr>
          <w:rFonts w:ascii="Arial" w:eastAsia="Times New Roman" w:hAnsi="Arial" w:cs="Arial"/>
          <w:sz w:val="10"/>
          <w:szCs w:val="10"/>
        </w:rPr>
        <w:t xml:space="preserve"> to grams per standard cubic meter at 20 degrees Celsius.</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Q = Stack gas volumetric flow rate, in standard cubic meter per hour, dry basis.</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T = Time of test run, in hours.</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HP-hr = Brake work of the engine, horsepower-hour (HP-hr).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(e) To determine compliance with the CO mass per unit output emission limitation, convert the concentration of CO in the engine exhaust using Equation 2 of this section:</w:t>
      </w:r>
    </w:p>
    <w:p w:rsidR="00CA0CDB" w:rsidRPr="00CA0CDB" w:rsidRDefault="00CA0CDB" w:rsidP="00CA0CDB">
      <w:pPr>
        <w:spacing w:after="0" w:line="240" w:lineRule="auto"/>
        <w:rPr>
          <w:rFonts w:ascii="Arial" w:eastAsia="Times New Roman" w:hAnsi="Arial" w:cs="Arial"/>
          <w:sz w:val="10"/>
          <w:szCs w:val="10"/>
        </w:rPr>
      </w:pPr>
      <w:r>
        <w:rPr>
          <w:rFonts w:ascii="Arial" w:eastAsia="Times New Roman" w:hAnsi="Arial" w:cs="Arial"/>
          <w:noProof/>
          <w:sz w:val="10"/>
          <w:szCs w:val="10"/>
        </w:rPr>
        <w:drawing>
          <wp:inline distT="0" distB="0" distL="0" distR="0">
            <wp:extent cx="2401570" cy="351790"/>
            <wp:effectExtent l="19050" t="0" r="0" b="0"/>
            <wp:docPr id="27" name="Picture 27" descr="eCFR graphic er18ja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8ja08.001.gif"/>
                    <pic:cNvPicPr>
                      <a:picLocks noChangeAspect="1" noChangeArrowheads="1"/>
                    </pic:cNvPicPr>
                  </pic:nvPicPr>
                  <pic:blipFill>
                    <a:blip r:embed="rId8" cstate="print"/>
                    <a:srcRect/>
                    <a:stretch>
                      <a:fillRect/>
                    </a:stretch>
                  </pic:blipFill>
                  <pic:spPr bwMode="auto">
                    <a:xfrm>
                      <a:off x="0" y="0"/>
                      <a:ext cx="2401570" cy="351790"/>
                    </a:xfrm>
                    <a:prstGeom prst="rect">
                      <a:avLst/>
                    </a:prstGeom>
                    <a:noFill/>
                    <a:ln w="9525">
                      <a:noFill/>
                      <a:miter lim="800000"/>
                      <a:headEnd/>
                      <a:tailEnd/>
                    </a:ln>
                  </pic:spPr>
                </pic:pic>
              </a:graphicData>
            </a:graphic>
          </wp:inline>
        </w:drawing>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Where:</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ER = Emission rate of CO in g/HP-hr.</w:t>
      </w:r>
    </w:p>
    <w:p w:rsidR="00CA0CDB" w:rsidRPr="00CA0CDB" w:rsidRDefault="00CA0CDB" w:rsidP="00CA0CDB">
      <w:pPr>
        <w:spacing w:before="200" w:after="100" w:line="240" w:lineRule="auto"/>
        <w:ind w:left="960" w:hanging="960"/>
        <w:rPr>
          <w:rFonts w:ascii="Arial" w:eastAsia="Times New Roman" w:hAnsi="Arial" w:cs="Arial"/>
          <w:sz w:val="10"/>
          <w:szCs w:val="10"/>
        </w:rPr>
      </w:pPr>
      <w:proofErr w:type="spellStart"/>
      <w:r w:rsidRPr="00CA0CDB">
        <w:rPr>
          <w:rFonts w:ascii="Arial" w:eastAsia="Times New Roman" w:hAnsi="Arial" w:cs="Arial"/>
          <w:sz w:val="10"/>
          <w:szCs w:val="10"/>
        </w:rPr>
        <w:t>C</w:t>
      </w:r>
      <w:r w:rsidRPr="00CA0CDB">
        <w:rPr>
          <w:rFonts w:ascii="Arial" w:eastAsia="Times New Roman" w:hAnsi="Arial" w:cs="Arial"/>
          <w:sz w:val="7"/>
          <w:szCs w:val="7"/>
          <w:vertAlign w:val="subscript"/>
        </w:rPr>
        <w:t>d</w:t>
      </w:r>
      <w:proofErr w:type="spellEnd"/>
      <w:r w:rsidRPr="00CA0CDB">
        <w:rPr>
          <w:rFonts w:ascii="Arial" w:eastAsia="Times New Roman" w:hAnsi="Arial" w:cs="Arial"/>
          <w:sz w:val="10"/>
          <w:szCs w:val="10"/>
        </w:rPr>
        <w:t xml:space="preserve"> = Measured CO concentration in ppmv.</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1.164×10</w:t>
      </w:r>
      <w:r w:rsidRPr="00CA0CDB">
        <w:rPr>
          <w:rFonts w:ascii="Arial" w:eastAsia="Times New Roman" w:hAnsi="Arial" w:cs="Arial"/>
          <w:sz w:val="7"/>
          <w:szCs w:val="7"/>
          <w:vertAlign w:val="superscript"/>
        </w:rPr>
        <w:t>−3</w:t>
      </w:r>
      <w:r w:rsidRPr="00CA0CDB">
        <w:rPr>
          <w:rFonts w:ascii="Arial" w:eastAsia="Times New Roman" w:hAnsi="Arial" w:cs="Arial"/>
          <w:sz w:val="10"/>
          <w:szCs w:val="10"/>
        </w:rPr>
        <w:t xml:space="preserve"> = Conversion constant for ppm CO to grams per standard cubic meter at 20 degrees Celsius.</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Q = Stack gas volumetric flow rate, in standard cubic meters per hour, dry basis.</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T = Time of test run, in hours.</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HP-hr = Brake work of the engine, in HP-hr.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(f) 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rsidR="00CA0CDB" w:rsidRPr="00CA0CDB" w:rsidRDefault="00CA0CDB" w:rsidP="00CA0CDB">
      <w:pPr>
        <w:spacing w:after="0" w:line="240" w:lineRule="auto"/>
        <w:rPr>
          <w:rFonts w:ascii="Arial" w:eastAsia="Times New Roman" w:hAnsi="Arial" w:cs="Arial"/>
          <w:sz w:val="10"/>
          <w:szCs w:val="10"/>
        </w:rPr>
      </w:pPr>
      <w:r>
        <w:rPr>
          <w:rFonts w:ascii="Arial" w:eastAsia="Times New Roman" w:hAnsi="Arial" w:cs="Arial"/>
          <w:noProof/>
          <w:sz w:val="10"/>
          <w:szCs w:val="10"/>
        </w:rPr>
        <w:drawing>
          <wp:inline distT="0" distB="0" distL="0" distR="0">
            <wp:extent cx="2401570" cy="351790"/>
            <wp:effectExtent l="19050" t="0" r="0" b="0"/>
            <wp:docPr id="28" name="Picture 28" descr="eCFR graphic er18ja0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8ja08.002.gif"/>
                    <pic:cNvPicPr>
                      <a:picLocks noChangeAspect="1" noChangeArrowheads="1"/>
                    </pic:cNvPicPr>
                  </pic:nvPicPr>
                  <pic:blipFill>
                    <a:blip r:embed="rId9" cstate="print"/>
                    <a:srcRect/>
                    <a:stretch>
                      <a:fillRect/>
                    </a:stretch>
                  </pic:blipFill>
                  <pic:spPr bwMode="auto">
                    <a:xfrm>
                      <a:off x="0" y="0"/>
                      <a:ext cx="2401570" cy="351790"/>
                    </a:xfrm>
                    <a:prstGeom prst="rect">
                      <a:avLst/>
                    </a:prstGeom>
                    <a:noFill/>
                    <a:ln w="9525">
                      <a:noFill/>
                      <a:miter lim="800000"/>
                      <a:headEnd/>
                      <a:tailEnd/>
                    </a:ln>
                  </pic:spPr>
                </pic:pic>
              </a:graphicData>
            </a:graphic>
          </wp:inline>
        </w:drawing>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Where:</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ER = Emission rate of VOC in g/HP-hr.</w:t>
      </w:r>
    </w:p>
    <w:p w:rsidR="00CA0CDB" w:rsidRPr="00CA0CDB" w:rsidRDefault="00CA0CDB" w:rsidP="00CA0CDB">
      <w:pPr>
        <w:spacing w:before="200" w:after="100" w:line="240" w:lineRule="auto"/>
        <w:ind w:left="960" w:hanging="960"/>
        <w:rPr>
          <w:rFonts w:ascii="Arial" w:eastAsia="Times New Roman" w:hAnsi="Arial" w:cs="Arial"/>
          <w:sz w:val="10"/>
          <w:szCs w:val="10"/>
        </w:rPr>
      </w:pPr>
      <w:proofErr w:type="spellStart"/>
      <w:r w:rsidRPr="00CA0CDB">
        <w:rPr>
          <w:rFonts w:ascii="Arial" w:eastAsia="Times New Roman" w:hAnsi="Arial" w:cs="Arial"/>
          <w:sz w:val="10"/>
          <w:szCs w:val="10"/>
        </w:rPr>
        <w:t>C</w:t>
      </w:r>
      <w:r w:rsidRPr="00CA0CDB">
        <w:rPr>
          <w:rFonts w:ascii="Arial" w:eastAsia="Times New Roman" w:hAnsi="Arial" w:cs="Arial"/>
          <w:sz w:val="7"/>
          <w:szCs w:val="7"/>
          <w:vertAlign w:val="subscript"/>
        </w:rPr>
        <w:t>d</w:t>
      </w:r>
      <w:proofErr w:type="spellEnd"/>
      <w:r w:rsidRPr="00CA0CDB">
        <w:rPr>
          <w:rFonts w:ascii="Arial" w:eastAsia="Times New Roman" w:hAnsi="Arial" w:cs="Arial"/>
          <w:sz w:val="10"/>
          <w:szCs w:val="10"/>
        </w:rPr>
        <w:t xml:space="preserve"> = VOC concentration measured as propane in ppmv.</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1.833×10</w:t>
      </w:r>
      <w:r w:rsidRPr="00CA0CDB">
        <w:rPr>
          <w:rFonts w:ascii="Arial" w:eastAsia="Times New Roman" w:hAnsi="Arial" w:cs="Arial"/>
          <w:sz w:val="7"/>
          <w:szCs w:val="7"/>
          <w:vertAlign w:val="superscript"/>
        </w:rPr>
        <w:t>−3</w:t>
      </w:r>
      <w:r w:rsidRPr="00CA0CDB">
        <w:rPr>
          <w:rFonts w:ascii="Arial" w:eastAsia="Times New Roman" w:hAnsi="Arial" w:cs="Arial"/>
          <w:sz w:val="10"/>
          <w:szCs w:val="10"/>
        </w:rPr>
        <w:t xml:space="preserve"> = Conversion constant for ppm VOC measured as propane, to grams per standard cubic meter at 20 degrees Celsius.</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Q = Stack gas volumetric flow rate, in standard cubic meters per hour, dry basis.</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T = Time of test run, in hours.</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HP-hr = Brake work of the engine, in HP-hr.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(g) If the owner/operator chooses to measure VOC emissions using </w:t>
      </w:r>
      <w:proofErr w:type="gramStart"/>
      <w:r w:rsidRPr="00CA0CDB">
        <w:rPr>
          <w:rFonts w:ascii="Arial" w:eastAsia="Times New Roman" w:hAnsi="Arial" w:cs="Arial"/>
          <w:sz w:val="10"/>
          <w:szCs w:val="10"/>
        </w:rPr>
        <w:t>either Method</w:t>
      </w:r>
      <w:proofErr w:type="gramEnd"/>
      <w:r w:rsidRPr="00CA0CDB">
        <w:rPr>
          <w:rFonts w:ascii="Arial" w:eastAsia="Times New Roman" w:hAnsi="Arial" w:cs="Arial"/>
          <w:sz w:val="10"/>
          <w:szCs w:val="10"/>
        </w:rPr>
        <w:t xml:space="preserve">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w:t>
      </w:r>
    </w:p>
    <w:p w:rsidR="00CA0CDB" w:rsidRPr="00CA0CDB" w:rsidRDefault="00CA0CDB" w:rsidP="00CA0CDB">
      <w:pPr>
        <w:spacing w:after="0" w:line="240" w:lineRule="auto"/>
        <w:rPr>
          <w:rFonts w:ascii="Arial" w:eastAsia="Times New Roman" w:hAnsi="Arial" w:cs="Arial"/>
          <w:sz w:val="10"/>
          <w:szCs w:val="10"/>
        </w:rPr>
      </w:pPr>
      <w:r>
        <w:rPr>
          <w:rFonts w:ascii="Arial" w:eastAsia="Times New Roman" w:hAnsi="Arial" w:cs="Arial"/>
          <w:noProof/>
          <w:sz w:val="10"/>
          <w:szCs w:val="10"/>
        </w:rPr>
        <w:drawing>
          <wp:inline distT="0" distB="0" distL="0" distR="0">
            <wp:extent cx="1150620" cy="391795"/>
            <wp:effectExtent l="19050" t="0" r="0" b="0"/>
            <wp:docPr id="29" name="Picture 29" descr="eCFR graphic er18ja0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8ja08.003.gif"/>
                    <pic:cNvPicPr>
                      <a:picLocks noChangeAspect="1" noChangeArrowheads="1"/>
                    </pic:cNvPicPr>
                  </pic:nvPicPr>
                  <pic:blipFill>
                    <a:blip r:embed="rId10" cstate="print"/>
                    <a:srcRect/>
                    <a:stretch>
                      <a:fillRect/>
                    </a:stretch>
                  </pic:blipFill>
                  <pic:spPr bwMode="auto">
                    <a:xfrm>
                      <a:off x="0" y="0"/>
                      <a:ext cx="1150620" cy="391795"/>
                    </a:xfrm>
                    <a:prstGeom prst="rect">
                      <a:avLst/>
                    </a:prstGeom>
                    <a:noFill/>
                    <a:ln w="9525">
                      <a:noFill/>
                      <a:miter lim="800000"/>
                      <a:headEnd/>
                      <a:tailEnd/>
                    </a:ln>
                  </pic:spPr>
                </pic:pic>
              </a:graphicData>
            </a:graphic>
          </wp:inline>
        </w:drawing>
      </w:r>
    </w:p>
    <w:p w:rsidR="0011487A" w:rsidRDefault="00CA0CDB" w:rsidP="00A968D7">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Where:</w:t>
      </w:r>
      <w:r w:rsidR="0011487A">
        <w:rPr>
          <w:rFonts w:ascii="Arial" w:eastAsia="Times New Roman" w:hAnsi="Arial" w:cs="Arial"/>
          <w:sz w:val="10"/>
          <w:szCs w:val="10"/>
        </w:rPr>
        <w:br w:type="page"/>
      </w:r>
    </w:p>
    <w:p w:rsidR="00CA0CDB" w:rsidRPr="00CA0CDB" w:rsidRDefault="00CA0CDB" w:rsidP="00CA0CDB">
      <w:pPr>
        <w:spacing w:before="200" w:after="100" w:line="240" w:lineRule="auto"/>
        <w:ind w:left="960" w:hanging="960"/>
        <w:rPr>
          <w:rFonts w:ascii="Arial" w:eastAsia="Times New Roman" w:hAnsi="Arial" w:cs="Arial"/>
          <w:sz w:val="10"/>
          <w:szCs w:val="10"/>
        </w:rPr>
      </w:pPr>
      <w:proofErr w:type="spellStart"/>
      <w:r w:rsidRPr="00CA0CDB">
        <w:rPr>
          <w:rFonts w:ascii="Arial" w:eastAsia="Times New Roman" w:hAnsi="Arial" w:cs="Arial"/>
          <w:sz w:val="10"/>
          <w:szCs w:val="10"/>
        </w:rPr>
        <w:t>RF</w:t>
      </w:r>
      <w:r w:rsidRPr="00CA0CDB">
        <w:rPr>
          <w:rFonts w:ascii="Arial" w:eastAsia="Times New Roman" w:hAnsi="Arial" w:cs="Arial"/>
          <w:sz w:val="7"/>
          <w:szCs w:val="7"/>
          <w:vertAlign w:val="subscript"/>
        </w:rPr>
        <w:t>i</w:t>
      </w:r>
      <w:proofErr w:type="spellEnd"/>
      <w:r w:rsidRPr="00CA0CDB">
        <w:rPr>
          <w:rFonts w:ascii="Arial" w:eastAsia="Times New Roman" w:hAnsi="Arial" w:cs="Arial"/>
          <w:sz w:val="10"/>
          <w:szCs w:val="10"/>
        </w:rPr>
        <w:t xml:space="preserve"> = Response factor of compound </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xml:space="preserve"> when measured with EPA Method 25A.</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C</w:t>
      </w:r>
      <w:r w:rsidRPr="00CA0CDB">
        <w:rPr>
          <w:rFonts w:ascii="Arial" w:eastAsia="Times New Roman" w:hAnsi="Arial" w:cs="Arial"/>
          <w:sz w:val="7"/>
          <w:szCs w:val="7"/>
          <w:vertAlign w:val="subscript"/>
        </w:rPr>
        <w:t>M</w:t>
      </w:r>
      <w:r w:rsidRPr="00CA0CDB">
        <w:rPr>
          <w:rFonts w:ascii="Arial" w:eastAsia="Times New Roman" w:hAnsi="Arial" w:cs="Arial"/>
          <w:sz w:val="10"/>
          <w:szCs w:val="10"/>
        </w:rPr>
        <w:t xml:space="preserve"> </w:t>
      </w:r>
      <w:proofErr w:type="spellStart"/>
      <w:r w:rsidRPr="00CA0CDB">
        <w:rPr>
          <w:rFonts w:ascii="Arial" w:eastAsia="Times New Roman" w:hAnsi="Arial" w:cs="Arial"/>
          <w:sz w:val="7"/>
          <w:szCs w:val="7"/>
          <w:vertAlign w:val="subscript"/>
        </w:rPr>
        <w:t>i</w:t>
      </w:r>
      <w:proofErr w:type="spellEnd"/>
      <w:r w:rsidRPr="00CA0CDB">
        <w:rPr>
          <w:rFonts w:ascii="Arial" w:eastAsia="Times New Roman" w:hAnsi="Arial" w:cs="Arial"/>
          <w:sz w:val="10"/>
          <w:szCs w:val="10"/>
        </w:rPr>
        <w:t xml:space="preserve"> = Measured concentration of compound </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xml:space="preserve"> in ppmv as carbon.</w:t>
      </w:r>
    </w:p>
    <w:p w:rsidR="00CA0CDB" w:rsidRPr="00CA0CDB" w:rsidRDefault="00CA0CDB" w:rsidP="00CA0CDB">
      <w:pPr>
        <w:spacing w:before="200" w:after="100" w:line="240" w:lineRule="auto"/>
        <w:ind w:left="960" w:hanging="960"/>
        <w:rPr>
          <w:rFonts w:ascii="Arial" w:eastAsia="Times New Roman" w:hAnsi="Arial" w:cs="Arial"/>
          <w:sz w:val="10"/>
          <w:szCs w:val="10"/>
        </w:rPr>
      </w:pPr>
      <w:r w:rsidRPr="00CA0CDB">
        <w:rPr>
          <w:rFonts w:ascii="Arial" w:eastAsia="Times New Roman" w:hAnsi="Arial" w:cs="Arial"/>
          <w:sz w:val="10"/>
          <w:szCs w:val="10"/>
        </w:rPr>
        <w:t>C</w:t>
      </w:r>
      <w:r w:rsidRPr="00CA0CDB">
        <w:rPr>
          <w:rFonts w:ascii="Arial" w:eastAsia="Times New Roman" w:hAnsi="Arial" w:cs="Arial"/>
          <w:sz w:val="7"/>
          <w:szCs w:val="7"/>
          <w:vertAlign w:val="subscript"/>
        </w:rPr>
        <w:t>A</w:t>
      </w:r>
      <w:r w:rsidRPr="00CA0CDB">
        <w:rPr>
          <w:rFonts w:ascii="Arial" w:eastAsia="Times New Roman" w:hAnsi="Arial" w:cs="Arial"/>
          <w:sz w:val="10"/>
          <w:szCs w:val="10"/>
        </w:rPr>
        <w:t xml:space="preserve"> </w:t>
      </w:r>
      <w:proofErr w:type="spellStart"/>
      <w:r w:rsidRPr="00CA0CDB">
        <w:rPr>
          <w:rFonts w:ascii="Arial" w:eastAsia="Times New Roman" w:hAnsi="Arial" w:cs="Arial"/>
          <w:sz w:val="7"/>
          <w:szCs w:val="7"/>
          <w:vertAlign w:val="subscript"/>
        </w:rPr>
        <w:t>i</w:t>
      </w:r>
      <w:proofErr w:type="spellEnd"/>
      <w:r w:rsidRPr="00CA0CDB">
        <w:rPr>
          <w:rFonts w:ascii="Arial" w:eastAsia="Times New Roman" w:hAnsi="Arial" w:cs="Arial"/>
          <w:sz w:val="10"/>
          <w:szCs w:val="10"/>
        </w:rPr>
        <w:t xml:space="preserve"> = True concentration of compound </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xml:space="preserve"> in ppmv as carbon.</w:t>
      </w:r>
    </w:p>
    <w:p w:rsidR="00CA0CDB" w:rsidRPr="00CA0CDB" w:rsidRDefault="00CA0CDB" w:rsidP="00CA0CDB">
      <w:pPr>
        <w:spacing w:after="0" w:line="240" w:lineRule="auto"/>
        <w:rPr>
          <w:rFonts w:ascii="Arial" w:eastAsia="Times New Roman" w:hAnsi="Arial" w:cs="Arial"/>
          <w:sz w:val="10"/>
          <w:szCs w:val="10"/>
        </w:rPr>
      </w:pPr>
      <w:r>
        <w:rPr>
          <w:rFonts w:ascii="Arial" w:eastAsia="Times New Roman" w:hAnsi="Arial" w:cs="Arial"/>
          <w:noProof/>
          <w:sz w:val="10"/>
          <w:szCs w:val="10"/>
        </w:rPr>
        <w:drawing>
          <wp:inline distT="0" distB="0" distL="0" distR="0">
            <wp:extent cx="1497330" cy="200660"/>
            <wp:effectExtent l="19050" t="0" r="7620" b="0"/>
            <wp:docPr id="30" name="Picture 30" descr="eCFR graphic 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8ja08.004.gif"/>
                    <pic:cNvPicPr>
                      <a:picLocks noChangeAspect="1" noChangeArrowheads="1"/>
                    </pic:cNvPicPr>
                  </pic:nvPicPr>
                  <pic:blipFill>
                    <a:blip r:embed="rId11" cstate="print"/>
                    <a:srcRect/>
                    <a:stretch>
                      <a:fillRect/>
                    </a:stretch>
                  </pic:blipFill>
                  <pic:spPr bwMode="auto">
                    <a:xfrm>
                      <a:off x="0" y="0"/>
                      <a:ext cx="1497330" cy="200660"/>
                    </a:xfrm>
                    <a:prstGeom prst="rect">
                      <a:avLst/>
                    </a:prstGeom>
                    <a:noFill/>
                    <a:ln w="9525">
                      <a:noFill/>
                      <a:miter lim="800000"/>
                      <a:headEnd/>
                      <a:tailEnd/>
                    </a:ln>
                  </pic:spPr>
                </pic:pic>
              </a:graphicData>
            </a:graphic>
          </wp:inline>
        </w:drawing>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Where:</w:t>
      </w:r>
    </w:p>
    <w:p w:rsidR="00CA0CDB" w:rsidRPr="00CA0CDB" w:rsidRDefault="00CA0CDB" w:rsidP="00CA0CDB">
      <w:pPr>
        <w:spacing w:before="200" w:after="100" w:line="240" w:lineRule="auto"/>
        <w:ind w:left="960" w:hanging="960"/>
        <w:rPr>
          <w:rFonts w:ascii="Arial" w:eastAsia="Times New Roman" w:hAnsi="Arial" w:cs="Arial"/>
          <w:sz w:val="10"/>
          <w:szCs w:val="10"/>
        </w:rPr>
      </w:pPr>
      <w:proofErr w:type="spellStart"/>
      <w:r w:rsidRPr="00CA0CDB">
        <w:rPr>
          <w:rFonts w:ascii="Arial" w:eastAsia="Times New Roman" w:hAnsi="Arial" w:cs="Arial"/>
          <w:sz w:val="10"/>
          <w:szCs w:val="10"/>
        </w:rPr>
        <w:t>C</w:t>
      </w:r>
      <w:r w:rsidRPr="00CA0CDB">
        <w:rPr>
          <w:rFonts w:ascii="Arial" w:eastAsia="Times New Roman" w:hAnsi="Arial" w:cs="Arial"/>
          <w:sz w:val="7"/>
          <w:szCs w:val="7"/>
          <w:vertAlign w:val="subscript"/>
        </w:rPr>
        <w:t>i</w:t>
      </w:r>
      <w:proofErr w:type="spellEnd"/>
      <w:r w:rsidRPr="00CA0CDB">
        <w:rPr>
          <w:rFonts w:ascii="Arial" w:eastAsia="Times New Roman" w:hAnsi="Arial" w:cs="Arial"/>
          <w:sz w:val="10"/>
          <w:szCs w:val="10"/>
        </w:rPr>
        <w:t xml:space="preserve"> </w:t>
      </w:r>
      <w:proofErr w:type="spellStart"/>
      <w:r w:rsidRPr="00CA0CDB">
        <w:rPr>
          <w:rFonts w:ascii="Arial" w:eastAsia="Times New Roman" w:hAnsi="Arial" w:cs="Arial"/>
          <w:sz w:val="7"/>
          <w:szCs w:val="7"/>
          <w:vertAlign w:val="subscript"/>
        </w:rPr>
        <w:t>corr</w:t>
      </w:r>
      <w:proofErr w:type="spellEnd"/>
      <w:r w:rsidRPr="00CA0CDB">
        <w:rPr>
          <w:rFonts w:ascii="Arial" w:eastAsia="Times New Roman" w:hAnsi="Arial" w:cs="Arial"/>
          <w:sz w:val="10"/>
          <w:szCs w:val="10"/>
        </w:rPr>
        <w:t xml:space="preserve"> = Concentration of compound </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xml:space="preserve"> corrected to the value that would have been measured by EPA Method 25A, ppmv as carbon.</w:t>
      </w:r>
    </w:p>
    <w:p w:rsidR="00CA0CDB" w:rsidRPr="00CA0CDB" w:rsidRDefault="00CA0CDB" w:rsidP="00CA0CDB">
      <w:pPr>
        <w:spacing w:before="200" w:after="100" w:line="240" w:lineRule="auto"/>
        <w:ind w:left="960" w:hanging="960"/>
        <w:rPr>
          <w:rFonts w:ascii="Arial" w:eastAsia="Times New Roman" w:hAnsi="Arial" w:cs="Arial"/>
          <w:sz w:val="10"/>
          <w:szCs w:val="10"/>
        </w:rPr>
      </w:pPr>
      <w:proofErr w:type="spellStart"/>
      <w:r w:rsidRPr="00CA0CDB">
        <w:rPr>
          <w:rFonts w:ascii="Arial" w:eastAsia="Times New Roman" w:hAnsi="Arial" w:cs="Arial"/>
          <w:sz w:val="10"/>
          <w:szCs w:val="10"/>
        </w:rPr>
        <w:t>C</w:t>
      </w:r>
      <w:r w:rsidRPr="00CA0CDB">
        <w:rPr>
          <w:rFonts w:ascii="Arial" w:eastAsia="Times New Roman" w:hAnsi="Arial" w:cs="Arial"/>
          <w:sz w:val="7"/>
          <w:szCs w:val="7"/>
          <w:vertAlign w:val="subscript"/>
        </w:rPr>
        <w:t>i</w:t>
      </w:r>
      <w:proofErr w:type="spellEnd"/>
      <w:r w:rsidRPr="00CA0CDB">
        <w:rPr>
          <w:rFonts w:ascii="Arial" w:eastAsia="Times New Roman" w:hAnsi="Arial" w:cs="Arial"/>
          <w:sz w:val="10"/>
          <w:szCs w:val="10"/>
        </w:rPr>
        <w:t xml:space="preserve"> </w:t>
      </w:r>
      <w:proofErr w:type="spellStart"/>
      <w:r w:rsidRPr="00CA0CDB">
        <w:rPr>
          <w:rFonts w:ascii="Arial" w:eastAsia="Times New Roman" w:hAnsi="Arial" w:cs="Arial"/>
          <w:sz w:val="7"/>
          <w:szCs w:val="7"/>
          <w:vertAlign w:val="subscript"/>
        </w:rPr>
        <w:t>meas</w:t>
      </w:r>
      <w:proofErr w:type="spellEnd"/>
      <w:r w:rsidRPr="00CA0CDB">
        <w:rPr>
          <w:rFonts w:ascii="Arial" w:eastAsia="Times New Roman" w:hAnsi="Arial" w:cs="Arial"/>
          <w:sz w:val="10"/>
          <w:szCs w:val="10"/>
        </w:rPr>
        <w:t xml:space="preserve"> = Concentration of compound </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xml:space="preserve"> measured by EPA Method 320, ppmv as carbon.</w:t>
      </w:r>
    </w:p>
    <w:p w:rsidR="00CA0CDB" w:rsidRPr="00CA0CDB" w:rsidRDefault="00CA0CDB" w:rsidP="00CA0CDB">
      <w:pPr>
        <w:spacing w:after="0" w:line="240" w:lineRule="auto"/>
        <w:rPr>
          <w:rFonts w:ascii="Arial" w:eastAsia="Times New Roman" w:hAnsi="Arial" w:cs="Arial"/>
          <w:sz w:val="10"/>
          <w:szCs w:val="10"/>
        </w:rPr>
      </w:pPr>
      <w:r>
        <w:rPr>
          <w:rFonts w:ascii="Arial" w:eastAsia="Times New Roman" w:hAnsi="Arial" w:cs="Arial"/>
          <w:noProof/>
          <w:sz w:val="10"/>
          <w:szCs w:val="10"/>
        </w:rPr>
        <w:drawing>
          <wp:inline distT="0" distB="0" distL="0" distR="0">
            <wp:extent cx="1647825" cy="200660"/>
            <wp:effectExtent l="19050" t="0" r="9525" b="0"/>
            <wp:docPr id="31" name="Picture 31" descr="eCFR graphic 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8ja08.005.gif"/>
                    <pic:cNvPicPr>
                      <a:picLocks noChangeAspect="1" noChangeArrowheads="1"/>
                    </pic:cNvPicPr>
                  </pic:nvPicPr>
                  <pic:blipFill>
                    <a:blip r:embed="rId12" cstate="print"/>
                    <a:srcRect/>
                    <a:stretch>
                      <a:fillRect/>
                    </a:stretch>
                  </pic:blipFill>
                  <pic:spPr bwMode="auto">
                    <a:xfrm>
                      <a:off x="0" y="0"/>
                      <a:ext cx="1647825" cy="200660"/>
                    </a:xfrm>
                    <a:prstGeom prst="rect">
                      <a:avLst/>
                    </a:prstGeom>
                    <a:noFill/>
                    <a:ln w="9525">
                      <a:noFill/>
                      <a:miter lim="800000"/>
                      <a:headEnd/>
                      <a:tailEnd/>
                    </a:ln>
                  </pic:spPr>
                </pic:pic>
              </a:graphicData>
            </a:graphic>
          </wp:inline>
        </w:drawing>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Where:</w:t>
      </w:r>
    </w:p>
    <w:p w:rsidR="00CA0CDB" w:rsidRPr="00CA0CDB" w:rsidRDefault="00CA0CDB" w:rsidP="00CA0CDB">
      <w:pPr>
        <w:spacing w:before="200" w:after="100" w:line="240" w:lineRule="auto"/>
        <w:ind w:left="960" w:hanging="960"/>
        <w:rPr>
          <w:rFonts w:ascii="Arial" w:eastAsia="Times New Roman" w:hAnsi="Arial" w:cs="Arial"/>
          <w:sz w:val="10"/>
          <w:szCs w:val="10"/>
        </w:rPr>
      </w:pPr>
      <w:proofErr w:type="spellStart"/>
      <w:r w:rsidRPr="00CA0CDB">
        <w:rPr>
          <w:rFonts w:ascii="Arial" w:eastAsia="Times New Roman" w:hAnsi="Arial" w:cs="Arial"/>
          <w:sz w:val="10"/>
          <w:szCs w:val="10"/>
        </w:rPr>
        <w:t>C</w:t>
      </w:r>
      <w:r w:rsidRPr="00CA0CDB">
        <w:rPr>
          <w:rFonts w:ascii="Arial" w:eastAsia="Times New Roman" w:hAnsi="Arial" w:cs="Arial"/>
          <w:sz w:val="7"/>
          <w:szCs w:val="7"/>
          <w:vertAlign w:val="subscript"/>
        </w:rPr>
        <w:t>Peq</w:t>
      </w:r>
      <w:proofErr w:type="spellEnd"/>
      <w:r w:rsidRPr="00CA0CDB">
        <w:rPr>
          <w:rFonts w:ascii="Arial" w:eastAsia="Times New Roman" w:hAnsi="Arial" w:cs="Arial"/>
          <w:sz w:val="10"/>
          <w:szCs w:val="10"/>
        </w:rPr>
        <w:t xml:space="preserve"> = Concentration of compound </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xml:space="preserve"> in mg of propane equivalent per DSCM.</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3" w:name="40:7.0.1.1.1.98.262"/>
      <w:bookmarkEnd w:id="23"/>
      <w:r w:rsidRPr="00CA0CDB">
        <w:rPr>
          <w:rFonts w:ascii="Arial" w:eastAsia="Times New Roman" w:hAnsi="Arial" w:cs="Arial"/>
          <w:b/>
          <w:bCs/>
          <w:sz w:val="10"/>
          <w:szCs w:val="10"/>
        </w:rPr>
        <w:t>Notification, Reports, and Records for Owners and Operators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4" w:name="40:7.0.1.1.1.98.262.16"/>
      <w:bookmarkEnd w:id="24"/>
      <w:r w:rsidRPr="00CA0CDB">
        <w:rPr>
          <w:rFonts w:ascii="Arial" w:eastAsia="Times New Roman" w:hAnsi="Arial" w:cs="Arial"/>
          <w:b/>
          <w:bCs/>
          <w:sz w:val="10"/>
          <w:szCs w:val="10"/>
        </w:rPr>
        <w:t>§ 60.4245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are my notification, reporting, and recordkeeping requirements if I am an owner or operator of a stationary SI internal combustion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Owners or operators of stationary SI ICE must meet the following notification, reporting and recordkeeping requirements.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 Owners and operators of all stationary SI ICE must keep records of the information in paragraphs (a</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1) through (4)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All notifications submitted to comply with this subpart and all documentation supporting any notification.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Maintenance conducted on the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(3) If the stationary SI internal combustion engine is a certified engine, documentation from the manufacturer that the engine is certified to meet the emission standards and information as required in 40 CFR parts 90, 1048, 1054, and 1060, as applicable.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(4) If the stationary SI internal combustion engine is not a certified engine or is a certified engine operating in a non-certified manner and subject to § 60.4243(a</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2), documentation that the engine meets the emission standards.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(b) 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 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 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w:t>
      </w:r>
      <w:proofErr w:type="gramStart"/>
      <w:r w:rsidRPr="00CA0CDB">
        <w:rPr>
          <w:rFonts w:ascii="Arial" w:eastAsia="Times New Roman" w:hAnsi="Arial" w:cs="Arial"/>
          <w:sz w:val="10"/>
          <w:szCs w:val="10"/>
        </w:rPr>
        <w:t>operation,</w:t>
      </w:r>
      <w:proofErr w:type="gramEnd"/>
      <w:r w:rsidRPr="00CA0CDB">
        <w:rPr>
          <w:rFonts w:ascii="Arial" w:eastAsia="Times New Roman" w:hAnsi="Arial" w:cs="Arial"/>
          <w:sz w:val="10"/>
          <w:szCs w:val="10"/>
        </w:rPr>
        <w:t xml:space="preserve"> including what classified the operation as emergency and how many hours are spent for non-emergency operation.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Owners and operators of stationary SI ICE greater than or equal to 500 HP that have not been certified by an engine manufacturer to meet the emission standards in § 60.4231 must submit an initial notification as required in § 60.7(a)(1). The notification must include the information in paragraphs (c</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1) through (5)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Name and address of the owner or operator;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The address of the affected source;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(3) Engine information including make, model, engine family, serial number, model year, maximum engine power, and engine displacement;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(4) Emission control equipment; and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(5) Fuel used.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(d) Owners and operators of stationary SI ICE that are subject to performance testing must submit a copy of each performance test </w:t>
      </w:r>
      <w:proofErr w:type="spellStart"/>
      <w:r w:rsidRPr="00CA0CDB">
        <w:rPr>
          <w:rFonts w:ascii="Arial" w:eastAsia="Times New Roman" w:hAnsi="Arial" w:cs="Arial"/>
          <w:sz w:val="10"/>
          <w:szCs w:val="10"/>
        </w:rPr>
        <w:t>as</w:t>
      </w:r>
      <w:proofErr w:type="spellEnd"/>
      <w:r w:rsidRPr="00CA0CDB">
        <w:rPr>
          <w:rFonts w:ascii="Arial" w:eastAsia="Times New Roman" w:hAnsi="Arial" w:cs="Arial"/>
          <w:sz w:val="10"/>
          <w:szCs w:val="10"/>
        </w:rPr>
        <w:t xml:space="preserve"> conducted in § 60.4244 within 60 days after the test has been completed.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(e) If you own or operate an emergency stationary SI ICE with a maximum engine power more than 100 HP that operates or is contractually obligated to be available for more than 15 hours per calendar year for the purposes specified in § 60.4243(d)(2)(ii) and (iii) or that operates for the purposes specified in § 60.4243(d)(3)(</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you must submit an annual report according to the requirements in paragraphs (e)(1) through (3) of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The report must contain the following information: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Company name and address where the engine is located.</w:t>
      </w:r>
    </w:p>
    <w:p w:rsidR="0011487A" w:rsidRDefault="0011487A">
      <w:pPr>
        <w:rPr>
          <w:rFonts w:ascii="Arial" w:eastAsia="Times New Roman" w:hAnsi="Arial" w:cs="Arial"/>
          <w:sz w:val="10"/>
          <w:szCs w:val="10"/>
        </w:rPr>
      </w:pPr>
      <w:r>
        <w:rPr>
          <w:rFonts w:ascii="Arial" w:eastAsia="Times New Roman" w:hAnsi="Arial" w:cs="Arial"/>
          <w:sz w:val="10"/>
          <w:szCs w:val="10"/>
        </w:rPr>
        <w:br w:type="page"/>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 Date of the report and beginning and ending dates of the reporting period.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(iii) Engine site rating and model year.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gramStart"/>
      <w:r w:rsidRPr="00CA0CDB">
        <w:rPr>
          <w:rFonts w:ascii="Arial" w:eastAsia="Times New Roman" w:hAnsi="Arial" w:cs="Arial"/>
          <w:sz w:val="10"/>
          <w:szCs w:val="10"/>
        </w:rPr>
        <w:t>(iv) Latitude</w:t>
      </w:r>
      <w:proofErr w:type="gramEnd"/>
      <w:r w:rsidRPr="00CA0CDB">
        <w:rPr>
          <w:rFonts w:ascii="Arial" w:eastAsia="Times New Roman" w:hAnsi="Arial" w:cs="Arial"/>
          <w:sz w:val="10"/>
          <w:szCs w:val="10"/>
        </w:rPr>
        <w:t xml:space="preserve"> and longitude of the engine in decimal degrees reported to the fifth decimal place.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(v) Hours operated for the purposes specified in § 60.4243(d</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2)(ii) and (iii), including the date, start time, and end time for engine operation for the purposes specified in § 60.4243(d)(2)(ii) and (iii).</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(vi) Number of hours the engine is contractually obligated to be available for the purposes specified in § 60.4243(d</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2)(ii) and (iii).</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(vii) Hours spent for operation for the purposes specified in § 60.4243(d</w:t>
      </w:r>
      <w:proofErr w:type="gramStart"/>
      <w:r w:rsidRPr="00CA0CDB">
        <w:rPr>
          <w:rFonts w:ascii="Arial" w:eastAsia="Times New Roman" w:hAnsi="Arial" w:cs="Arial"/>
          <w:sz w:val="10"/>
          <w:szCs w:val="10"/>
        </w:rPr>
        <w:t>)(</w:t>
      </w:r>
      <w:proofErr w:type="gramEnd"/>
      <w:r w:rsidRPr="00CA0CDB">
        <w:rPr>
          <w:rFonts w:ascii="Arial" w:eastAsia="Times New Roman" w:hAnsi="Arial" w:cs="Arial"/>
          <w:sz w:val="10"/>
          <w:szCs w:val="10"/>
        </w:rPr>
        <w:t>3)(</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including the date, start time, and end time for engine operation for the purposes specified in § 60.4243(d)(3)(</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The report must also identify the entity that dispatched the engine and the situation that necessitated the dispatch of the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The first annual report must cover the calendar year 2015 and must be submitted no later than March 31, 2016. Subsequent annual reports for each calendar year must be submitted no later than March 31 of the following calendar year.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(3) The annual report must be submitted electronically using the subpart specific reporting form in the Compliance and Emissions Data Reporting Interface (CEDRI) that is accessed through EPA's Central Data Exchange (CDX) </w:t>
      </w:r>
      <w:proofErr w:type="gramStart"/>
      <w:r w:rsidRPr="00CA0CDB">
        <w:rPr>
          <w:rFonts w:ascii="Arial" w:eastAsia="Times New Roman" w:hAnsi="Arial" w:cs="Arial"/>
          <w:sz w:val="10"/>
          <w:szCs w:val="10"/>
        </w:rPr>
        <w:t xml:space="preserve">( </w:t>
      </w:r>
      <w:r w:rsidRPr="00CA0CDB">
        <w:rPr>
          <w:rFonts w:ascii="Arial" w:eastAsia="Times New Roman" w:hAnsi="Arial" w:cs="Arial"/>
          <w:i/>
          <w:iCs/>
          <w:sz w:val="10"/>
          <w:szCs w:val="10"/>
        </w:rPr>
        <w:t>www.epa.gov</w:t>
      </w:r>
      <w:proofErr w:type="gramEnd"/>
      <w:r w:rsidRPr="00CA0CDB">
        <w:rPr>
          <w:rFonts w:ascii="Arial" w:eastAsia="Times New Roman" w:hAnsi="Arial" w:cs="Arial"/>
          <w:i/>
          <w:iCs/>
          <w:sz w:val="10"/>
          <w:szCs w:val="10"/>
        </w:rPr>
        <w:t>/cdx</w:t>
      </w:r>
      <w:r w:rsidRPr="00CA0CDB">
        <w:rPr>
          <w:rFonts w:ascii="Arial" w:eastAsia="Times New Roman" w:hAnsi="Arial" w:cs="Arial"/>
          <w:sz w:val="10"/>
          <w:szCs w:val="10"/>
        </w:rPr>
        <w:t xml:space="preserve"> ). However, if the reporting form specific to this subpart is not available in CEDRI at the time that the report is due, the written report must be submitted to the Administrator at the appropriate address listed in § 60.4.</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[73 FR 3591, Jan. 18, 2008, as amended at 73 FR 59177, Oct. 8, 2008; 78 FR 6697, Jan. 30, 2013]</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5" w:name="40:7.0.1.1.1.98.263"/>
      <w:bookmarkEnd w:id="25"/>
      <w:r w:rsidRPr="00CA0CDB">
        <w:rPr>
          <w:rFonts w:ascii="Arial" w:eastAsia="Times New Roman" w:hAnsi="Arial" w:cs="Arial"/>
          <w:b/>
          <w:bCs/>
          <w:sz w:val="10"/>
          <w:szCs w:val="10"/>
        </w:rPr>
        <w:t>General Provisions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6" w:name="40:7.0.1.1.1.98.263.17"/>
      <w:bookmarkEnd w:id="26"/>
      <w:r w:rsidRPr="00CA0CDB">
        <w:rPr>
          <w:rFonts w:ascii="Arial" w:eastAsia="Times New Roman" w:hAnsi="Arial" w:cs="Arial"/>
          <w:b/>
          <w:bCs/>
          <w:sz w:val="10"/>
          <w:szCs w:val="10"/>
        </w:rPr>
        <w:t>§ 60.4246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parts of the General Provisions apply to me?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Table 3 to this subpart shows which parts of the General Provisions in §§ 60.1 through 60.19 apply to you.</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7" w:name="40:7.0.1.1.1.98.264"/>
      <w:bookmarkEnd w:id="27"/>
      <w:r w:rsidRPr="00CA0CDB">
        <w:rPr>
          <w:rFonts w:ascii="Arial" w:eastAsia="Times New Roman" w:hAnsi="Arial" w:cs="Arial"/>
          <w:b/>
          <w:bCs/>
          <w:sz w:val="10"/>
          <w:szCs w:val="10"/>
        </w:rPr>
        <w:t>Mobile Source Provisions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8" w:name="40:7.0.1.1.1.98.264.18"/>
      <w:bookmarkEnd w:id="28"/>
      <w:r w:rsidRPr="00CA0CDB">
        <w:rPr>
          <w:rFonts w:ascii="Arial" w:eastAsia="Times New Roman" w:hAnsi="Arial" w:cs="Arial"/>
          <w:b/>
          <w:bCs/>
          <w:sz w:val="10"/>
          <w:szCs w:val="10"/>
        </w:rPr>
        <w:t>§ 60.4247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parts of the mobile source provisions apply to me if I am a manufacturer of stationary SI internal combustion engines or a manufacturer of equipment containing such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(a) Manufacturers certifying to emission standards in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90, including manufacturers certifying emergency engines below 130 HP, must meet the provisions of 40 CFR part 90. Manufacturers certifying to emission standards in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1054 must meet the provisions of 40 CFR part 1054. Manufacturers of equipment containing stationary SI internal combustion engines meeting the provisions of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1054 must meet the provisions of 40 CFR part 1060 to the extent they apply to equipment manufacturers.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(b) Manufacturers required to certify to emission standards in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1048 must meet the provisions of 40 CFR part 1048. Manufacturers certifying to emission standards in 40 CFR part 1048 pursuant to the voluntary certification program must meet the requirements in Table 4 to this subpart as well as the standards in 40 CFR 1048.101.</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(c) For manufacturers of stationary SI internal combustion engines participating in the voluntary certification program and certifying engines to Table 1 to this subpart, Table 4 to this subpart shows which parts of the mobile source provisions in 40 CFR parts 1048, 1065, and 1068 apply to you. Compliance with the deterioration factor provisions under 40 CFR 1048.205(n) and 1048.240 will be required for engines built new on and after January 1, 2010. Prior to January 1, 2010, manufacturers of stationary internal combustion engines participating in the voluntary certification program have the option to develop their own deterioration factors based on an engineering analysis.</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[73 FR 3591, Jan. 18, 2008, as amended at 73 FR 59177, Oct. 8, 2008]</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29" w:name="40:7.0.1.1.1.98.265"/>
      <w:bookmarkEnd w:id="29"/>
      <w:r w:rsidRPr="00CA0CDB">
        <w:rPr>
          <w:rFonts w:ascii="Arial" w:eastAsia="Times New Roman" w:hAnsi="Arial" w:cs="Arial"/>
          <w:b/>
          <w:bCs/>
          <w:sz w:val="10"/>
          <w:szCs w:val="10"/>
        </w:rPr>
        <w:t>Definitions</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30" w:name="40:7.0.1.1.1.98.265.19"/>
      <w:bookmarkEnd w:id="30"/>
      <w:r w:rsidRPr="00CA0CDB">
        <w:rPr>
          <w:rFonts w:ascii="Arial" w:eastAsia="Times New Roman" w:hAnsi="Arial" w:cs="Arial"/>
          <w:b/>
          <w:bCs/>
          <w:sz w:val="10"/>
          <w:szCs w:val="10"/>
        </w:rPr>
        <w:t>§ 60.4248   </w:t>
      </w:r>
      <w:proofErr w:type="gramStart"/>
      <w:r w:rsidRPr="00CA0CDB">
        <w:rPr>
          <w:rFonts w:ascii="Arial" w:eastAsia="Times New Roman" w:hAnsi="Arial" w:cs="Arial"/>
          <w:b/>
          <w:bCs/>
          <w:sz w:val="10"/>
          <w:szCs w:val="10"/>
        </w:rPr>
        <w:t>What</w:t>
      </w:r>
      <w:proofErr w:type="gramEnd"/>
      <w:r w:rsidRPr="00CA0CDB">
        <w:rPr>
          <w:rFonts w:ascii="Arial" w:eastAsia="Times New Roman" w:hAnsi="Arial" w:cs="Arial"/>
          <w:b/>
          <w:bCs/>
          <w:sz w:val="10"/>
          <w:szCs w:val="10"/>
        </w:rPr>
        <w:t xml:space="preserve"> definitions apply to this subpart?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As used in this subpart, all terms not defined herein shall have the meaning given them in the CAA and in subpart A of this part.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Certified emissions life</w:t>
      </w:r>
      <w:r w:rsidRPr="00CA0CDB">
        <w:rPr>
          <w:rFonts w:ascii="Arial" w:eastAsia="Times New Roman" w:hAnsi="Arial" w:cs="Arial"/>
          <w:sz w:val="10"/>
          <w:szCs w:val="10"/>
        </w:rPr>
        <w:t xml:space="preserve"> means the period during which the engine is designed to properly function in terms of reliability and fuel consumption, without being remanufactured, specified as a number of hours of operation or calendar years, whichever comes </w:t>
      </w:r>
      <w:proofErr w:type="gramStart"/>
      <w:r w:rsidRPr="00CA0CDB">
        <w:rPr>
          <w:rFonts w:ascii="Arial" w:eastAsia="Times New Roman" w:hAnsi="Arial" w:cs="Arial"/>
          <w:sz w:val="10"/>
          <w:szCs w:val="10"/>
        </w:rPr>
        <w:t>first.</w:t>
      </w:r>
      <w:proofErr w:type="gramEnd"/>
      <w:r w:rsidRPr="00CA0CDB">
        <w:rPr>
          <w:rFonts w:ascii="Arial" w:eastAsia="Times New Roman" w:hAnsi="Arial" w:cs="Arial"/>
          <w:sz w:val="10"/>
          <w:szCs w:val="10"/>
        </w:rPr>
        <w:t xml:space="preserve"> The values for certified emissions life for stationary SI ICE with a maximum engine power less than or equal to 19 KW (25 HP) are given in 40 CFR 90.105, 40 CFR 1054.107, and 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 You may request in your application for certification that we approve a shorter certified emissions life for an engine family. We may approve a shorter certified emissions life, in hours of engine operation but not in years, if we determine that these engines will rarely operate longer than the shorter certified emissions life. If engines identical to those in the engine family have already been produced and are in use, your demonstration must include documentation from such in-use engines. In other cases, your demonstration must include an engineering analysis of information equivalent to such in-use data, such as data from research engines or similar engine models that are already in production. Your demonstration must also include any overhaul interval that you recommend, any mechanical warranty that you offer for the engine or its components, and any relevant customer design specifications. Your demonstration may include any other relevant information. The certified emissions life value may not be shorter than any of the following:</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1,000 hours of operation.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 Your recommended overhaul interval.</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(iii) Your mechanical warranty for the engine.</w:t>
      </w:r>
    </w:p>
    <w:p w:rsidR="0011487A"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Certified stationary internal combustion engine</w:t>
      </w:r>
      <w:r w:rsidRPr="00CA0CDB">
        <w:rPr>
          <w:rFonts w:ascii="Arial" w:eastAsia="Times New Roman" w:hAnsi="Arial" w:cs="Arial"/>
          <w:sz w:val="10"/>
          <w:szCs w:val="10"/>
        </w:rPr>
        <w:t xml:space="preserve"> means an engine that belongs to an engine family that has a certificate of conformity that complies with the emission standards and requirements in this part, or of 40 CFR part 90,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1048, or 40 CFR part 1054, as appropriate.</w:t>
      </w:r>
    </w:p>
    <w:p w:rsidR="0011487A" w:rsidRDefault="0011487A">
      <w:pPr>
        <w:rPr>
          <w:rFonts w:ascii="Arial" w:eastAsia="Times New Roman" w:hAnsi="Arial" w:cs="Arial"/>
          <w:sz w:val="10"/>
          <w:szCs w:val="10"/>
        </w:rPr>
      </w:pPr>
      <w:r>
        <w:rPr>
          <w:rFonts w:ascii="Arial" w:eastAsia="Times New Roman" w:hAnsi="Arial" w:cs="Arial"/>
          <w:sz w:val="10"/>
          <w:szCs w:val="10"/>
        </w:rPr>
        <w:br w:type="page"/>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Combustion turbine</w:t>
      </w:r>
      <w:r w:rsidRPr="00CA0CDB">
        <w:rPr>
          <w:rFonts w:ascii="Arial" w:eastAsia="Times New Roman" w:hAnsi="Arial" w:cs="Arial"/>
          <w:sz w:val="10"/>
          <w:szCs w:val="1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Compression ignition</w:t>
      </w:r>
      <w:r w:rsidRPr="00CA0CDB">
        <w:rPr>
          <w:rFonts w:ascii="Arial" w:eastAsia="Times New Roman" w:hAnsi="Arial" w:cs="Arial"/>
          <w:sz w:val="10"/>
          <w:szCs w:val="10"/>
        </w:rPr>
        <w:t xml:space="preserve"> means relating to a type of stationary internal combustion engine that is not a spark ignition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Date of manufacture</w:t>
      </w:r>
      <w:r w:rsidRPr="00CA0CDB">
        <w:rPr>
          <w:rFonts w:ascii="Arial" w:eastAsia="Times New Roman" w:hAnsi="Arial" w:cs="Arial"/>
          <w:sz w:val="10"/>
          <w:szCs w:val="10"/>
        </w:rPr>
        <w:t xml:space="preserve"> means one of the following things: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For freshly manufactured engines and modified engines, date of manufacture means the date the engine is originally produced.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For reconstructed engines, date of manufacture means the date the engine was originally produced, except as specified in paragraph (3) of this definition.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Diesel fuel</w:t>
      </w:r>
      <w:r w:rsidRPr="00CA0CDB">
        <w:rPr>
          <w:rFonts w:ascii="Arial" w:eastAsia="Times New Roman" w:hAnsi="Arial" w:cs="Arial"/>
          <w:sz w:val="10"/>
          <w:szCs w:val="10"/>
        </w:rPr>
        <w:t xml:space="preserve"> means any liquid obtained from the distillation of petroleum with a boiling point of approximately 150 to 360 degrees Celsius. One commonly used form is number 2 distillate oil.</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Digester gas</w:t>
      </w:r>
      <w:r w:rsidRPr="00CA0CDB">
        <w:rPr>
          <w:rFonts w:ascii="Arial" w:eastAsia="Times New Roman" w:hAnsi="Arial" w:cs="Arial"/>
          <w:sz w:val="10"/>
          <w:szCs w:val="10"/>
        </w:rPr>
        <w:t xml:space="preserve"> means any gaseous by-product of wastewater treatment typically formed through the anaerobic decomposition of organic waste materials and composed principally of methane and carbon dioxide (</w:t>
      </w:r>
      <w:proofErr w:type="gramStart"/>
      <w:r w:rsidRPr="00CA0CDB">
        <w:rPr>
          <w:rFonts w:ascii="Arial" w:eastAsia="Times New Roman" w:hAnsi="Arial" w:cs="Arial"/>
          <w:sz w:val="10"/>
          <w:szCs w:val="10"/>
        </w:rPr>
        <w:t>CO</w:t>
      </w:r>
      <w:r w:rsidRPr="00CA0CDB">
        <w:rPr>
          <w:rFonts w:ascii="Arial" w:eastAsia="Times New Roman" w:hAnsi="Arial" w:cs="Arial"/>
          <w:sz w:val="7"/>
          <w:szCs w:val="7"/>
          <w:vertAlign w:val="subscript"/>
        </w:rPr>
        <w:t>2</w:t>
      </w:r>
      <w:r w:rsidRPr="00CA0CDB">
        <w:rPr>
          <w:rFonts w:ascii="Arial" w:eastAsia="Times New Roman" w:hAnsi="Arial" w:cs="Arial"/>
          <w:sz w:val="10"/>
          <w:szCs w:val="10"/>
        </w:rPr>
        <w:t xml:space="preserve"> )</w:t>
      </w:r>
      <w:proofErr w:type="gramEnd"/>
      <w:r w:rsidRPr="00CA0CDB">
        <w:rPr>
          <w:rFonts w:ascii="Arial" w:eastAsia="Times New Roman" w:hAnsi="Arial" w:cs="Arial"/>
          <w:sz w:val="10"/>
          <w:szCs w:val="10"/>
        </w:rPr>
        <w: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Emergency stationary internal combustion engine</w:t>
      </w:r>
      <w:r w:rsidRPr="00CA0CDB">
        <w:rPr>
          <w:rFonts w:ascii="Arial" w:eastAsia="Times New Roman" w:hAnsi="Arial" w:cs="Arial"/>
          <w:sz w:val="10"/>
          <w:szCs w:val="10"/>
        </w:rPr>
        <w:t xml:space="preserve"> means any stationary reciprocating internal combustion engine that meets all of the criteria in paragraphs (1) through (3) of this definition. All emergency stationary ICE must comply with the requirements specified in § 60.4243(d) in order to be considered emergency stationary ICE. If the engine does not comply with the requirements specified in § 60.4243(d), then it is not considered to be an emergency stationary ICE under this subpart.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(2) The stationary ICE is operated under limited circumstances for situations not included in paragraph (1) of this definition, as specified in § 60.4243(d).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(3) The stationary ICE operates as part of a financial arrangement with another entity in situations not included in paragraph (1) of this definition only as allowed in § 60.4243(d)(2)(ii) or (iii) and § 60.4243(d)(3)(</w:t>
      </w: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Engine manufacturer</w:t>
      </w:r>
      <w:r w:rsidRPr="00CA0CDB">
        <w:rPr>
          <w:rFonts w:ascii="Arial" w:eastAsia="Times New Roman" w:hAnsi="Arial" w:cs="Arial"/>
          <w:sz w:val="10"/>
          <w:szCs w:val="10"/>
        </w:rPr>
        <w:t xml:space="preserve"> means the manufacturer of the engine. See the definition of “manufacturer” in this section.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Four-stroke engine</w:t>
      </w:r>
      <w:r w:rsidRPr="00CA0CDB">
        <w:rPr>
          <w:rFonts w:ascii="Arial" w:eastAsia="Times New Roman" w:hAnsi="Arial" w:cs="Arial"/>
          <w:sz w:val="10"/>
          <w:szCs w:val="10"/>
        </w:rPr>
        <w:t xml:space="preserve"> means any type of engine which completes the power cycle in two crankshaft revolutions, with intake and compression strokes in the first revolution and power and exhaust strokes in the second revolution.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Freshly manufactured engine</w:t>
      </w:r>
      <w:r w:rsidRPr="00CA0CDB">
        <w:rPr>
          <w:rFonts w:ascii="Arial" w:eastAsia="Times New Roman" w:hAnsi="Arial" w:cs="Arial"/>
          <w:sz w:val="10"/>
          <w:szCs w:val="10"/>
        </w:rPr>
        <w:t xml:space="preserve"> means an engine that has not been placed into service. An engine becomes freshly manufactured when it is originally produced.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Gasoline</w:t>
      </w:r>
      <w:r w:rsidRPr="00CA0CDB">
        <w:rPr>
          <w:rFonts w:ascii="Arial" w:eastAsia="Times New Roman" w:hAnsi="Arial" w:cs="Arial"/>
          <w:sz w:val="10"/>
          <w:szCs w:val="10"/>
        </w:rPr>
        <w:t xml:space="preserve"> means any fuel sold in any State for use in motor vehicles and motor vehicle engines, or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or stationary engines, and commonly or commercially known or sold as gasoline.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Installed</w:t>
      </w:r>
      <w:r w:rsidRPr="00CA0CDB">
        <w:rPr>
          <w:rFonts w:ascii="Arial" w:eastAsia="Times New Roman" w:hAnsi="Arial" w:cs="Arial"/>
          <w:sz w:val="10"/>
          <w:szCs w:val="10"/>
        </w:rPr>
        <w:t xml:space="preserve"> means the engine is placed and secured at the location where it is intended to be operated.</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Landfill gas</w:t>
      </w:r>
      <w:r w:rsidRPr="00CA0CDB">
        <w:rPr>
          <w:rFonts w:ascii="Arial" w:eastAsia="Times New Roman" w:hAnsi="Arial" w:cs="Arial"/>
          <w:sz w:val="10"/>
          <w:szCs w:val="10"/>
        </w:rPr>
        <w:t xml:space="preserve"> means a gaseous by-product of the land application of municipal refuse typically formed through the anaerobic decomposition of waste materials and composed principally of methane and </w:t>
      </w:r>
      <w:proofErr w:type="gramStart"/>
      <w:r w:rsidRPr="00CA0CDB">
        <w:rPr>
          <w:rFonts w:ascii="Arial" w:eastAsia="Times New Roman" w:hAnsi="Arial" w:cs="Arial"/>
          <w:sz w:val="10"/>
          <w:szCs w:val="10"/>
        </w:rPr>
        <w:t>CO</w:t>
      </w:r>
      <w:r w:rsidRPr="00CA0CDB">
        <w:rPr>
          <w:rFonts w:ascii="Arial" w:eastAsia="Times New Roman" w:hAnsi="Arial" w:cs="Arial"/>
          <w:sz w:val="7"/>
          <w:szCs w:val="7"/>
          <w:vertAlign w:val="subscript"/>
        </w:rPr>
        <w:t>2</w:t>
      </w:r>
      <w:r w:rsidRPr="00CA0CDB">
        <w:rPr>
          <w:rFonts w:ascii="Arial" w:eastAsia="Times New Roman" w:hAnsi="Arial" w:cs="Arial"/>
          <w:sz w:val="10"/>
          <w:szCs w:val="10"/>
        </w:rPr>
        <w:t xml:space="preserve"> .</w:t>
      </w:r>
      <w:proofErr w:type="gramEnd"/>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Lean burn engine</w:t>
      </w:r>
      <w:r w:rsidRPr="00CA0CDB">
        <w:rPr>
          <w:rFonts w:ascii="Arial" w:eastAsia="Times New Roman" w:hAnsi="Arial" w:cs="Arial"/>
          <w:sz w:val="10"/>
          <w:szCs w:val="10"/>
        </w:rPr>
        <w:t xml:space="preserve"> means any two-stroke or four-stroke spark ignited engine that does not meet the definition of a rich burn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Liquefied petroleum gas</w:t>
      </w:r>
      <w:r w:rsidRPr="00CA0CDB">
        <w:rPr>
          <w:rFonts w:ascii="Arial" w:eastAsia="Times New Roman" w:hAnsi="Arial" w:cs="Arial"/>
          <w:sz w:val="10"/>
          <w:szCs w:val="10"/>
        </w:rPr>
        <w:t xml:space="preserve"> means any liquefied hydrocarbon gas obtained as a by-product in petroleum refining or natural gas production.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Manufacturer</w:t>
      </w:r>
      <w:r w:rsidRPr="00CA0CDB">
        <w:rPr>
          <w:rFonts w:ascii="Arial" w:eastAsia="Times New Roman" w:hAnsi="Arial" w:cs="Arial"/>
          <w:sz w:val="10"/>
          <w:szCs w:val="10"/>
        </w:rPr>
        <w:t xml:space="preserve"> has the meaning given in section 216(1) of the Clean Air Act. In general, this term includes any person who manufactures a stationary engine for sale in the United States or otherwise introduces a new stationary engine into commerce in the United States. This includes importers who import stationary engines for resale.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Maximum engine power</w:t>
      </w:r>
      <w:r w:rsidRPr="00CA0CDB">
        <w:rPr>
          <w:rFonts w:ascii="Arial" w:eastAsia="Times New Roman" w:hAnsi="Arial" w:cs="Arial"/>
          <w:sz w:val="10"/>
          <w:szCs w:val="10"/>
        </w:rPr>
        <w:t xml:space="preserve"> means maximum engine power as defined in 40 CFR 1048.801.</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Model year</w:t>
      </w:r>
      <w:r w:rsidRPr="00CA0CDB">
        <w:rPr>
          <w:rFonts w:ascii="Arial" w:eastAsia="Times New Roman" w:hAnsi="Arial" w:cs="Arial"/>
          <w:sz w:val="10"/>
          <w:szCs w:val="10"/>
        </w:rPr>
        <w:t xml:space="preserve"> means the calendar year in which an engine is manufactured (see “date of manufacture”), except as follows: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 xml:space="preserve">(2) For an engine that is converted to a stationary engine after being placed into service as a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or other non-stationary engine, model year means the calendar year or new model production period in which the engine was manufactured (see “date of manufacture”).</w:t>
      </w:r>
    </w:p>
    <w:p w:rsidR="0011487A" w:rsidRDefault="00CA0CDB" w:rsidP="00A968D7">
      <w:pPr>
        <w:spacing w:before="100" w:beforeAutospacing="1" w:after="100" w:afterAutospacing="1" w:line="240" w:lineRule="auto"/>
        <w:ind w:firstLine="480"/>
        <w:rPr>
          <w:rFonts w:ascii="Arial" w:eastAsia="Times New Roman" w:hAnsi="Arial" w:cs="Arial"/>
          <w:i/>
          <w:iCs/>
          <w:sz w:val="10"/>
          <w:szCs w:val="10"/>
        </w:rPr>
      </w:pPr>
      <w:r w:rsidRPr="00CA0CDB">
        <w:rPr>
          <w:rFonts w:ascii="Arial" w:eastAsia="Times New Roman" w:hAnsi="Arial" w:cs="Arial"/>
          <w:i/>
          <w:iCs/>
          <w:sz w:val="10"/>
          <w:szCs w:val="10"/>
        </w:rPr>
        <w:t>Natural gas</w:t>
      </w:r>
      <w:r w:rsidRPr="00CA0CDB">
        <w:rPr>
          <w:rFonts w:ascii="Arial" w:eastAsia="Times New Roman" w:hAnsi="Arial" w:cs="Arial"/>
          <w:sz w:val="10"/>
          <w:szCs w:val="10"/>
        </w:rPr>
        <w:t xml:space="preserve"> means a naturally occurring mixture of hydrocarbon and non-hydrocarbon gases found in geologic formations beneath the Earth's surface, of which the principal constituent is methane. Natural gas may be field or pipeline quality.</w:t>
      </w:r>
      <w:r w:rsidR="0011487A">
        <w:rPr>
          <w:rFonts w:ascii="Arial" w:eastAsia="Times New Roman" w:hAnsi="Arial" w:cs="Arial"/>
          <w:i/>
          <w:iCs/>
          <w:sz w:val="10"/>
          <w:szCs w:val="10"/>
        </w:rPr>
        <w:br w:type="page"/>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Other internal combustion engine</w:t>
      </w:r>
      <w:r w:rsidRPr="00CA0CDB">
        <w:rPr>
          <w:rFonts w:ascii="Arial" w:eastAsia="Times New Roman" w:hAnsi="Arial" w:cs="Arial"/>
          <w:sz w:val="10"/>
          <w:szCs w:val="10"/>
        </w:rPr>
        <w:t xml:space="preserve"> means any internal combustion engine, except combustion turbines, which is not a reciprocating internal combustion engine or rotary internal combustion engine.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Pipeline-quality natural gas</w:t>
      </w:r>
      <w:r w:rsidRPr="00CA0CDB">
        <w:rPr>
          <w:rFonts w:ascii="Arial" w:eastAsia="Times New Roman" w:hAnsi="Arial" w:cs="Arial"/>
          <w:sz w:val="10"/>
          <w:szCs w:val="10"/>
        </w:rPr>
        <w:t xml:space="preserve"> means a naturally occurring fluid mixture of hydrocarbons (e.g., methane, ethane, or propane) produced in geological formations beneath the Earth's surface that maintains a gaseous state at standard atmospheric temperature and pressure under ordinary </w:t>
      </w:r>
      <w:proofErr w:type="gramStart"/>
      <w:r w:rsidRPr="00CA0CDB">
        <w:rPr>
          <w:rFonts w:ascii="Arial" w:eastAsia="Times New Roman" w:hAnsi="Arial" w:cs="Arial"/>
          <w:sz w:val="10"/>
          <w:szCs w:val="10"/>
        </w:rPr>
        <w:t>conditions,</w:t>
      </w:r>
      <w:proofErr w:type="gramEnd"/>
      <w:r w:rsidRPr="00CA0CDB">
        <w:rPr>
          <w:rFonts w:ascii="Arial" w:eastAsia="Times New Roman" w:hAnsi="Arial" w:cs="Arial"/>
          <w:sz w:val="10"/>
          <w:szCs w:val="10"/>
        </w:rPr>
        <w:t xml:space="preserve"> and which is provided by a supplier through a pipeline. Pipeline-quality natural gas must either be composed of at least 70 percent methane by volume or have a gross calorific value between 950 and 1,100 British thermal units per standard cubic foot.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Rich burn engine</w:t>
      </w:r>
      <w:r w:rsidRPr="00CA0CDB">
        <w:rPr>
          <w:rFonts w:ascii="Arial" w:eastAsia="Times New Roman" w:hAnsi="Arial" w:cs="Arial"/>
          <w:sz w:val="10"/>
          <w:szCs w:val="10"/>
        </w:rPr>
        <w:t xml:space="preserve"> means any four-stroke spark ignited engine where the manufacturer's recommended operating air/fuel ratio divided by the </w:t>
      </w:r>
      <w:proofErr w:type="spellStart"/>
      <w:r w:rsidRPr="00CA0CDB">
        <w:rPr>
          <w:rFonts w:ascii="Arial" w:eastAsia="Times New Roman" w:hAnsi="Arial" w:cs="Arial"/>
          <w:sz w:val="10"/>
          <w:szCs w:val="10"/>
        </w:rPr>
        <w:t>stoichiometric</w:t>
      </w:r>
      <w:proofErr w:type="spellEnd"/>
      <w:r w:rsidRPr="00CA0CDB">
        <w:rPr>
          <w:rFonts w:ascii="Arial" w:eastAsia="Times New Roman" w:hAnsi="Arial" w:cs="Arial"/>
          <w:sz w:val="10"/>
          <w:szCs w:val="10"/>
        </w:rPr>
        <w:t xml:space="preserve"> air/fuel ratio at full load conditions is less than or equal to 1.1. Engines originally manufactured as rich burn engines, but modified prior to June 12, 2006, with passive emission control technology for NO</w:t>
      </w:r>
      <w:r w:rsidRPr="00CA0CDB">
        <w:rPr>
          <w:rFonts w:ascii="Arial" w:eastAsia="Times New Roman" w:hAnsi="Arial" w:cs="Arial"/>
          <w:sz w:val="7"/>
          <w:szCs w:val="7"/>
          <w:vertAlign w:val="subscript"/>
        </w:rPr>
        <w:t>X</w:t>
      </w:r>
      <w:r w:rsidRPr="00CA0CDB">
        <w:rPr>
          <w:rFonts w:ascii="Arial" w:eastAsia="Times New Roman" w:hAnsi="Arial" w:cs="Arial"/>
          <w:sz w:val="10"/>
          <w:szCs w:val="1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Rotary internal combustion engine</w:t>
      </w:r>
      <w:r w:rsidRPr="00CA0CDB">
        <w:rPr>
          <w:rFonts w:ascii="Arial" w:eastAsia="Times New Roman" w:hAnsi="Arial" w:cs="Arial"/>
          <w:sz w:val="10"/>
          <w:szCs w:val="10"/>
        </w:rPr>
        <w:t xml:space="preserve"> means any internal combustion engine which uses rotary motion to convert heat energy into mechanical work.</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Spark ignition</w:t>
      </w:r>
      <w:r w:rsidRPr="00CA0CDB">
        <w:rPr>
          <w:rFonts w:ascii="Arial" w:eastAsia="Times New Roman" w:hAnsi="Arial" w:cs="Arial"/>
          <w:sz w:val="10"/>
          <w:szCs w:val="1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Stationary internal combustion engine</w:t>
      </w:r>
      <w:r w:rsidRPr="00CA0CDB">
        <w:rPr>
          <w:rFonts w:ascii="Arial" w:eastAsia="Times New Roman" w:hAnsi="Arial" w:cs="Arial"/>
          <w:sz w:val="10"/>
          <w:szCs w:val="10"/>
        </w:rPr>
        <w:t xml:space="preserve"> means any internal combustion engine, except combustion turbines, that converts heat energy into mechanical work and is not mobile. Stationary ICE differ from mobile ICE in that a stationary internal combustion engine is not a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engine as defined at 40 CFR 1068.30 (excluding paragraph (2)(ii) of that definition), and is not used to propel a motor vehicle, aircraft, or a vehicle used solely for competition. Stationary ICE </w:t>
      </w:r>
      <w:proofErr w:type="gramStart"/>
      <w:r w:rsidRPr="00CA0CDB">
        <w:rPr>
          <w:rFonts w:ascii="Arial" w:eastAsia="Times New Roman" w:hAnsi="Arial" w:cs="Arial"/>
          <w:sz w:val="10"/>
          <w:szCs w:val="10"/>
        </w:rPr>
        <w:t>include</w:t>
      </w:r>
      <w:proofErr w:type="gramEnd"/>
      <w:r w:rsidRPr="00CA0CDB">
        <w:rPr>
          <w:rFonts w:ascii="Arial" w:eastAsia="Times New Roman" w:hAnsi="Arial" w:cs="Arial"/>
          <w:sz w:val="10"/>
          <w:szCs w:val="10"/>
        </w:rPr>
        <w:t xml:space="preserve"> reciprocating ICE, rotary ICE, and other ICE, except combustion turbines.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Stationary internal combustion engine test cell/stand</w:t>
      </w:r>
      <w:r w:rsidRPr="00CA0CDB">
        <w:rPr>
          <w:rFonts w:ascii="Arial" w:eastAsia="Times New Roman" w:hAnsi="Arial" w:cs="Arial"/>
          <w:sz w:val="10"/>
          <w:szCs w:val="10"/>
        </w:rPr>
        <w:t xml:space="preserve"> means an engine test cell/stand, as defined in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63, subpart PPPPP, that tests stationary ICE.</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spellStart"/>
      <w:r w:rsidRPr="00CA0CDB">
        <w:rPr>
          <w:rFonts w:ascii="Arial" w:eastAsia="Times New Roman" w:hAnsi="Arial" w:cs="Arial"/>
          <w:i/>
          <w:iCs/>
          <w:sz w:val="10"/>
          <w:szCs w:val="10"/>
        </w:rPr>
        <w:t>Stoichiometric</w:t>
      </w:r>
      <w:proofErr w:type="spellEnd"/>
      <w:r w:rsidRPr="00CA0CDB">
        <w:rPr>
          <w:rFonts w:ascii="Arial" w:eastAsia="Times New Roman" w:hAnsi="Arial" w:cs="Arial"/>
          <w:sz w:val="10"/>
          <w:szCs w:val="10"/>
        </w:rPr>
        <w:t xml:space="preserve"> means the theoretical air-to-fuel ratio required for complete combustion.</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Subpart</w:t>
      </w:r>
      <w:r w:rsidRPr="00CA0CDB">
        <w:rPr>
          <w:rFonts w:ascii="Arial" w:eastAsia="Times New Roman" w:hAnsi="Arial" w:cs="Arial"/>
          <w:sz w:val="10"/>
          <w:szCs w:val="10"/>
        </w:rPr>
        <w:t xml:space="preserve"> means 40 CFR </w:t>
      </w:r>
      <w:proofErr w:type="gramStart"/>
      <w:r w:rsidRPr="00CA0CDB">
        <w:rPr>
          <w:rFonts w:ascii="Arial" w:eastAsia="Times New Roman" w:hAnsi="Arial" w:cs="Arial"/>
          <w:sz w:val="10"/>
          <w:szCs w:val="10"/>
        </w:rPr>
        <w:t>part</w:t>
      </w:r>
      <w:proofErr w:type="gramEnd"/>
      <w:r w:rsidRPr="00CA0CDB">
        <w:rPr>
          <w:rFonts w:ascii="Arial" w:eastAsia="Times New Roman" w:hAnsi="Arial" w:cs="Arial"/>
          <w:sz w:val="10"/>
          <w:szCs w:val="10"/>
        </w:rPr>
        <w:t xml:space="preserve"> 60, subpart JJJJ.</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Two-stroke engine</w:t>
      </w:r>
      <w:r w:rsidRPr="00CA0CDB">
        <w:rPr>
          <w:rFonts w:ascii="Arial" w:eastAsia="Times New Roman" w:hAnsi="Arial" w:cs="Arial"/>
          <w:sz w:val="10"/>
          <w:szCs w:val="1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CA0CDB">
        <w:rPr>
          <w:rFonts w:ascii="Arial" w:eastAsia="Times New Roman" w:hAnsi="Arial" w:cs="Arial"/>
          <w:sz w:val="10"/>
          <w:szCs w:val="10"/>
        </w:rPr>
        <w:t>stoichiometric</w:t>
      </w:r>
      <w:proofErr w:type="spellEnd"/>
      <w:r w:rsidRPr="00CA0CDB">
        <w:rPr>
          <w:rFonts w:ascii="Arial" w:eastAsia="Times New Roman" w:hAnsi="Arial" w:cs="Arial"/>
          <w:sz w:val="10"/>
          <w:szCs w:val="10"/>
        </w:rPr>
        <w: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Volatile organic compounds</w:t>
      </w:r>
      <w:r w:rsidRPr="00CA0CDB">
        <w:rPr>
          <w:rFonts w:ascii="Arial" w:eastAsia="Times New Roman" w:hAnsi="Arial" w:cs="Arial"/>
          <w:sz w:val="10"/>
          <w:szCs w:val="10"/>
        </w:rPr>
        <w:t xml:space="preserve"> means volatile organic compounds as defined in 40 CFR 51.100(s).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i/>
          <w:iCs/>
          <w:sz w:val="10"/>
          <w:szCs w:val="10"/>
        </w:rPr>
        <w:t>Voluntary certification program</w:t>
      </w:r>
      <w:r w:rsidRPr="00CA0CDB">
        <w:rPr>
          <w:rFonts w:ascii="Arial" w:eastAsia="Times New Roman" w:hAnsi="Arial" w:cs="Arial"/>
          <w:sz w:val="10"/>
          <w:szCs w:val="10"/>
        </w:rPr>
        <w:t xml:space="preserve"> 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 60.4231(d) or (e), as applicable.</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[73 FR 3591, Jan. 18, 2008, as amended at 73 FR 59177, Oct. 8, 2008; 76 FR 37974, June 28, 2011; 78 FR 6698, Jan. 30, 2013]</w:t>
      </w:r>
    </w:p>
    <w:p w:rsidR="00CA0CDB" w:rsidRPr="00CA0CDB" w:rsidRDefault="00CA0CDB" w:rsidP="00CA0CDB">
      <w:pPr>
        <w:spacing w:before="200" w:line="240" w:lineRule="auto"/>
        <w:outlineLvl w:val="1"/>
        <w:rPr>
          <w:rFonts w:ascii="Arial" w:eastAsia="Times New Roman" w:hAnsi="Arial" w:cs="Arial"/>
          <w:b/>
          <w:bCs/>
          <w:sz w:val="10"/>
          <w:szCs w:val="10"/>
        </w:rPr>
      </w:pPr>
      <w:bookmarkStart w:id="31" w:name="40:7.0.1.1.1.98.266.20.64"/>
      <w:bookmarkEnd w:id="31"/>
      <w:r w:rsidRPr="00CA0CDB">
        <w:rPr>
          <w:rFonts w:ascii="Arial" w:eastAsia="Times New Roman" w:hAnsi="Arial" w:cs="Arial"/>
          <w:b/>
          <w:bCs/>
          <w:sz w:val="10"/>
          <w:szCs w:val="10"/>
        </w:rPr>
        <w:t>Table 1 to Subpart JJJJ of Part 60—</w:t>
      </w:r>
      <w:proofErr w:type="gramStart"/>
      <w:r w:rsidRPr="00CA0CDB">
        <w:rPr>
          <w:rFonts w:ascii="Arial" w:eastAsia="Times New Roman" w:hAnsi="Arial" w:cs="Arial"/>
          <w:b/>
          <w:bCs/>
          <w:sz w:val="10"/>
          <w:szCs w:val="10"/>
        </w:rPr>
        <w:t>NO</w:t>
      </w:r>
      <w:r w:rsidRPr="00CA0CDB">
        <w:rPr>
          <w:rFonts w:ascii="Arial" w:eastAsia="Times New Roman" w:hAnsi="Arial" w:cs="Arial"/>
          <w:b/>
          <w:bCs/>
          <w:sz w:val="7"/>
          <w:szCs w:val="7"/>
          <w:vertAlign w:val="subscript"/>
        </w:rPr>
        <w:t>X</w:t>
      </w:r>
      <w:r w:rsidRPr="00CA0CDB">
        <w:rPr>
          <w:rFonts w:ascii="Arial" w:eastAsia="Times New Roman" w:hAnsi="Arial" w:cs="Arial"/>
          <w:b/>
          <w:bCs/>
          <w:sz w:val="10"/>
          <w:szCs w:val="10"/>
        </w:rPr>
        <w:t xml:space="preserve"> ,</w:t>
      </w:r>
      <w:proofErr w:type="gramEnd"/>
      <w:r w:rsidRPr="00CA0CDB">
        <w:rPr>
          <w:rFonts w:ascii="Arial" w:eastAsia="Times New Roman" w:hAnsi="Arial" w:cs="Arial"/>
          <w:b/>
          <w:bCs/>
          <w:sz w:val="10"/>
          <w:szCs w:val="10"/>
        </w:rPr>
        <w:t xml:space="preserve"> CO, and VOC Emission Standards for Stationary Non-Emergency SI Engines </w:t>
      </w:r>
      <w:r w:rsidRPr="00CA0CDB">
        <w:rPr>
          <w:rFonts w:ascii="Arial Unicode MS" w:eastAsia="Arial Unicode MS" w:hAnsi="Arial Unicode MS" w:cs="Arial Unicode MS" w:hint="eastAsia"/>
          <w:b/>
          <w:bCs/>
          <w:sz w:val="10"/>
          <w:szCs w:val="10"/>
        </w:rPr>
        <w:t>≥</w:t>
      </w:r>
      <w:r w:rsidRPr="00CA0CDB">
        <w:rPr>
          <w:rFonts w:ascii="Arial" w:eastAsia="Times New Roman" w:hAnsi="Arial" w:cs="Arial"/>
          <w:b/>
          <w:bCs/>
          <w:sz w:val="10"/>
          <w:szCs w:val="10"/>
        </w:rPr>
        <w:t>100 HP (Except Gasoline and Rich Burn LPG), Stationary SI Landfill/Digester Gas Engines, and Stationary Emergency Engines &gt;25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834"/>
        <w:gridCol w:w="859"/>
        <w:gridCol w:w="767"/>
        <w:gridCol w:w="271"/>
        <w:gridCol w:w="242"/>
        <w:gridCol w:w="383"/>
        <w:gridCol w:w="313"/>
        <w:gridCol w:w="279"/>
        <w:gridCol w:w="442"/>
      </w:tblGrid>
      <w:tr w:rsidR="00CA0CDB" w:rsidRPr="00CA0CDB" w:rsidTr="00CA0CDB">
        <w:trPr>
          <w:jc w:val="center"/>
        </w:trPr>
        <w:tc>
          <w:tcPr>
            <w:tcW w:w="0" w:type="auto"/>
            <w:vMerge w:val="restart"/>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Engine type</w:t>
            </w:r>
            <w:r w:rsidRPr="00CA0CDB">
              <w:rPr>
                <w:rFonts w:ascii="Arial" w:eastAsia="Times New Roman" w:hAnsi="Arial" w:cs="Arial"/>
                <w:b/>
                <w:bCs/>
                <w:sz w:val="10"/>
                <w:szCs w:val="10"/>
              </w:rPr>
              <w:br/>
              <w:t>and fuel</w:t>
            </w:r>
          </w:p>
        </w:tc>
        <w:tc>
          <w:tcPr>
            <w:tcW w:w="0" w:type="auto"/>
            <w:vMerge w:val="restart"/>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Maximum</w:t>
            </w:r>
            <w:r w:rsidRPr="00CA0CDB">
              <w:rPr>
                <w:rFonts w:ascii="Arial" w:eastAsia="Times New Roman" w:hAnsi="Arial" w:cs="Arial"/>
                <w:b/>
                <w:bCs/>
                <w:sz w:val="10"/>
                <w:szCs w:val="10"/>
              </w:rPr>
              <w:br/>
              <w:t>engine power</w:t>
            </w:r>
          </w:p>
        </w:tc>
        <w:tc>
          <w:tcPr>
            <w:tcW w:w="0" w:type="auto"/>
            <w:vMerge w:val="restart"/>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Manufacture</w:t>
            </w:r>
            <w:r w:rsidRPr="00CA0CDB">
              <w:rPr>
                <w:rFonts w:ascii="Arial" w:eastAsia="Times New Roman" w:hAnsi="Arial" w:cs="Arial"/>
                <w:b/>
                <w:bCs/>
                <w:sz w:val="10"/>
                <w:szCs w:val="10"/>
              </w:rPr>
              <w:br/>
              <w:t>date</w:t>
            </w:r>
          </w:p>
        </w:tc>
        <w:tc>
          <w:tcPr>
            <w:tcW w:w="0" w:type="auto"/>
            <w:gridSpan w:val="6"/>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Emission standards </w:t>
            </w:r>
            <w:r w:rsidRPr="00CA0CDB">
              <w:rPr>
                <w:rFonts w:ascii="Arial" w:eastAsia="Times New Roman" w:hAnsi="Arial" w:cs="Arial"/>
                <w:b/>
                <w:bCs/>
                <w:sz w:val="10"/>
                <w:szCs w:val="10"/>
                <w:vertAlign w:val="superscript"/>
              </w:rPr>
              <w:t>a</w:t>
            </w:r>
          </w:p>
        </w:tc>
      </w:tr>
      <w:tr w:rsidR="00CA0CDB" w:rsidRPr="00CA0CDB" w:rsidTr="00CA0CDB">
        <w:trP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CA0CDB" w:rsidRPr="00CA0CDB" w:rsidRDefault="00CA0CDB" w:rsidP="00CA0CDB">
            <w:pPr>
              <w:spacing w:after="0" w:line="240" w:lineRule="auto"/>
              <w:rPr>
                <w:rFonts w:ascii="Arial" w:eastAsia="Times New Roman" w:hAnsi="Arial" w:cs="Arial"/>
                <w:b/>
                <w:bCs/>
                <w:sz w:val="10"/>
                <w:szCs w:val="1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CA0CDB" w:rsidRPr="00CA0CDB" w:rsidRDefault="00CA0CDB" w:rsidP="00CA0CDB">
            <w:pPr>
              <w:spacing w:after="0" w:line="240" w:lineRule="auto"/>
              <w:rPr>
                <w:rFonts w:ascii="Arial" w:eastAsia="Times New Roman" w:hAnsi="Arial" w:cs="Arial"/>
                <w:b/>
                <w:bCs/>
                <w:sz w:val="10"/>
                <w:szCs w:val="1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CA0CDB" w:rsidRPr="00CA0CDB" w:rsidRDefault="00CA0CDB" w:rsidP="00CA0CDB">
            <w:pPr>
              <w:spacing w:after="0" w:line="240" w:lineRule="auto"/>
              <w:rPr>
                <w:rFonts w:ascii="Arial" w:eastAsia="Times New Roman" w:hAnsi="Arial" w:cs="Arial"/>
                <w:b/>
                <w:bCs/>
                <w:sz w:val="10"/>
                <w:szCs w:val="10"/>
              </w:rPr>
            </w:pPr>
          </w:p>
        </w:tc>
        <w:tc>
          <w:tcPr>
            <w:tcW w:w="0" w:type="auto"/>
            <w:gridSpan w:val="3"/>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g/HP-hr</w:t>
            </w:r>
          </w:p>
        </w:tc>
        <w:tc>
          <w:tcPr>
            <w:tcW w:w="0" w:type="auto"/>
            <w:gridSpan w:val="3"/>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ppmvd at 15% O</w:t>
            </w:r>
            <w:r w:rsidRPr="00CA0CDB">
              <w:rPr>
                <w:rFonts w:ascii="Arial" w:eastAsia="Times New Roman" w:hAnsi="Arial" w:cs="Arial"/>
                <w:b/>
                <w:bCs/>
                <w:sz w:val="10"/>
                <w:szCs w:val="10"/>
                <w:vertAlign w:val="subscript"/>
              </w:rPr>
              <w:t>2</w:t>
            </w:r>
          </w:p>
        </w:tc>
      </w:tr>
      <w:tr w:rsidR="00CA0CDB" w:rsidRPr="00CA0CDB" w:rsidTr="00CA0CDB">
        <w:trP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CA0CDB" w:rsidRPr="00CA0CDB" w:rsidRDefault="00CA0CDB" w:rsidP="00CA0CDB">
            <w:pPr>
              <w:spacing w:after="0" w:line="240" w:lineRule="auto"/>
              <w:rPr>
                <w:rFonts w:ascii="Arial" w:eastAsia="Times New Roman" w:hAnsi="Arial" w:cs="Arial"/>
                <w:b/>
                <w:bCs/>
                <w:sz w:val="10"/>
                <w:szCs w:val="1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CA0CDB" w:rsidRPr="00CA0CDB" w:rsidRDefault="00CA0CDB" w:rsidP="00CA0CDB">
            <w:pPr>
              <w:spacing w:after="0" w:line="240" w:lineRule="auto"/>
              <w:rPr>
                <w:rFonts w:ascii="Arial" w:eastAsia="Times New Roman" w:hAnsi="Arial" w:cs="Arial"/>
                <w:b/>
                <w:bCs/>
                <w:sz w:val="10"/>
                <w:szCs w:val="1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CA0CDB" w:rsidRPr="00CA0CDB" w:rsidRDefault="00CA0CDB" w:rsidP="00CA0CDB">
            <w:pPr>
              <w:spacing w:after="0" w:line="240" w:lineRule="auto"/>
              <w:rPr>
                <w:rFonts w:ascii="Arial" w:eastAsia="Times New Roman" w:hAnsi="Arial" w:cs="Arial"/>
                <w:b/>
                <w:bCs/>
                <w:sz w:val="10"/>
                <w:szCs w:val="10"/>
              </w:rPr>
            </w:pP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NO</w:t>
            </w:r>
            <w:r w:rsidRPr="00CA0CDB">
              <w:rPr>
                <w:rFonts w:ascii="Arial" w:eastAsia="Times New Roman" w:hAnsi="Arial" w:cs="Arial"/>
                <w:b/>
                <w:bCs/>
                <w:sz w:val="10"/>
                <w:szCs w:val="10"/>
                <w:vertAlign w:val="subscript"/>
              </w:rPr>
              <w:t>X</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CO</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VOC </w:t>
            </w:r>
            <w:r w:rsidRPr="00CA0CDB">
              <w:rPr>
                <w:rFonts w:ascii="Arial" w:eastAsia="Times New Roman" w:hAnsi="Arial" w:cs="Arial"/>
                <w:b/>
                <w:bCs/>
                <w:sz w:val="10"/>
                <w:szCs w:val="10"/>
                <w:vertAlign w:val="superscript"/>
              </w:rPr>
              <w:t>d</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NO</w:t>
            </w:r>
            <w:r w:rsidRPr="00CA0CDB">
              <w:rPr>
                <w:rFonts w:ascii="Arial" w:eastAsia="Times New Roman" w:hAnsi="Arial" w:cs="Arial"/>
                <w:b/>
                <w:bCs/>
                <w:sz w:val="10"/>
                <w:szCs w:val="10"/>
                <w:vertAlign w:val="subscript"/>
              </w:rPr>
              <w:t>X</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CO</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VOC </w:t>
            </w:r>
            <w:r w:rsidRPr="00CA0CDB">
              <w:rPr>
                <w:rFonts w:ascii="Arial" w:eastAsia="Times New Roman" w:hAnsi="Arial" w:cs="Arial"/>
                <w:b/>
                <w:bCs/>
                <w:sz w:val="10"/>
                <w:szCs w:val="10"/>
                <w:vertAlign w:val="superscript"/>
              </w:rPr>
              <w:t>d</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Non-Emergency SI Natural Gas </w:t>
            </w:r>
            <w:r w:rsidRPr="00CA0CDB">
              <w:rPr>
                <w:rFonts w:ascii="Arial" w:eastAsia="Times New Roman" w:hAnsi="Arial" w:cs="Arial"/>
                <w:sz w:val="10"/>
                <w:szCs w:val="10"/>
                <w:vertAlign w:val="superscript"/>
              </w:rPr>
              <w:t>b</w:t>
            </w:r>
            <w:r w:rsidRPr="00CA0CDB">
              <w:rPr>
                <w:rFonts w:ascii="Arial" w:eastAsia="Times New Roman" w:hAnsi="Arial" w:cs="Arial"/>
                <w:sz w:val="10"/>
                <w:szCs w:val="10"/>
              </w:rPr>
              <w:t>and Non-Emergency SI Lean Burn LPG </w:t>
            </w:r>
            <w:r w:rsidRPr="00CA0CDB">
              <w:rPr>
                <w:rFonts w:ascii="Arial" w:eastAsia="Times New Roman" w:hAnsi="Arial" w:cs="Arial"/>
                <w:sz w:val="10"/>
                <w:szCs w:val="10"/>
                <w:vertAlign w:val="superscript"/>
              </w:rPr>
              <w:t>b</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100≤HP&lt;500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7/1/2008</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4.0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160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540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86</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1/1/2011</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0.7</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82</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270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60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Non-Emergency SI Lean Burn Natural Gas and LPG</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500≤HP&lt;1,350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1/1/2008</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4.0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160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540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86</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7/1/2010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0.7</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82</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270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60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Non-Emergency SI Natural Gas and Non-Emergency SI Lean Burn LPG (except lean burn 500≤HP&lt;1,350)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HP≥500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7/1/2007</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4.0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160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540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86</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HP≥500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7/1/2010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0.7</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82</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270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60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Landfill/Digester Gas (except lean burn 500≤HP&lt;1,350)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HP&lt;500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7/1/2008</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3.0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610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1/1/2011</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610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HP≥500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7/1/2007</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3.0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610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7/1/2010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610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Landfill/Digester Gas Lean Burn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500≤HP&lt;1,350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1/1/2008</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3.0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610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7/1/2010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610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80</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Emergency</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25&lt;HP&lt;130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1/1/2009</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vertAlign w:val="superscript"/>
              </w:rPr>
              <w:t>c</w:t>
            </w:r>
            <w:r w:rsidRPr="00CA0CDB">
              <w:rPr>
                <w:rFonts w:ascii="Arial" w:eastAsia="Times New Roman" w:hAnsi="Arial" w:cs="Arial"/>
                <w:sz w:val="10"/>
                <w:szCs w:val="10"/>
              </w:rPr>
              <w:t> 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387</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N/A</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N/A</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N/A</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N/A</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HP≥130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4.0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160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540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86</w:t>
            </w:r>
          </w:p>
        </w:tc>
      </w:tr>
    </w:tbl>
    <w:p w:rsidR="0011487A" w:rsidRDefault="0011487A" w:rsidP="00CA0CDB">
      <w:pPr>
        <w:spacing w:before="100" w:beforeAutospacing="1" w:after="100" w:afterAutospacing="1" w:line="240" w:lineRule="auto"/>
        <w:ind w:firstLine="480"/>
        <w:rPr>
          <w:rFonts w:ascii="Arial" w:eastAsia="Times New Roman" w:hAnsi="Arial" w:cs="Arial"/>
          <w:sz w:val="10"/>
          <w:szCs w:val="10"/>
          <w:vertAlign w:val="superscript"/>
        </w:rPr>
      </w:pPr>
    </w:p>
    <w:p w:rsidR="0011487A" w:rsidRDefault="0011487A">
      <w:pPr>
        <w:rPr>
          <w:rFonts w:ascii="Arial" w:eastAsia="Times New Roman" w:hAnsi="Arial" w:cs="Arial"/>
          <w:sz w:val="10"/>
          <w:szCs w:val="10"/>
          <w:vertAlign w:val="superscript"/>
        </w:rPr>
      </w:pPr>
      <w:r>
        <w:rPr>
          <w:rFonts w:ascii="Arial" w:eastAsia="Times New Roman" w:hAnsi="Arial" w:cs="Arial"/>
          <w:sz w:val="10"/>
          <w:szCs w:val="10"/>
          <w:vertAlign w:val="superscript"/>
        </w:rPr>
        <w:br w:type="page"/>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gramStart"/>
      <w:r w:rsidRPr="00CA0CDB">
        <w:rPr>
          <w:rFonts w:ascii="Arial" w:eastAsia="Times New Roman" w:hAnsi="Arial" w:cs="Arial"/>
          <w:sz w:val="10"/>
          <w:szCs w:val="10"/>
          <w:vertAlign w:val="superscript"/>
        </w:rPr>
        <w:t>a</w:t>
      </w:r>
      <w:proofErr w:type="gramEnd"/>
      <w:r w:rsidRPr="00CA0CDB">
        <w:rPr>
          <w:rFonts w:ascii="Arial" w:eastAsia="Times New Roman" w:hAnsi="Arial" w:cs="Arial"/>
          <w:sz w:val="10"/>
          <w:szCs w:val="10"/>
        </w:rPr>
        <w:t> Owners and operators of stationary non-certified SI engines may choose to comply with the emission standards in units of either g/HP-hr or ppmvd at 15 percent O</w:t>
      </w:r>
      <w:r w:rsidRPr="00CA0CDB">
        <w:rPr>
          <w:rFonts w:ascii="Arial" w:eastAsia="Times New Roman" w:hAnsi="Arial" w:cs="Arial"/>
          <w:sz w:val="10"/>
          <w:szCs w:val="10"/>
          <w:vertAlign w:val="subscript"/>
        </w:rPr>
        <w:t>2</w:t>
      </w:r>
      <w:r w:rsidRPr="00CA0CDB">
        <w:rPr>
          <w:rFonts w:ascii="Arial" w:eastAsia="Times New Roman" w:hAnsi="Arial" w:cs="Arial"/>
          <w:sz w:val="10"/>
          <w:szCs w:val="10"/>
        </w:rPr>
        <w: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vertAlign w:val="superscript"/>
        </w:rPr>
        <w:t>b</w:t>
      </w:r>
      <w:r w:rsidRPr="00CA0CDB">
        <w:rPr>
          <w:rFonts w:ascii="Arial" w:eastAsia="Times New Roman" w:hAnsi="Arial" w:cs="Arial"/>
          <w:sz w:val="10"/>
          <w:szCs w:val="10"/>
        </w:rPr>
        <w:t> Owners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gramStart"/>
      <w:r w:rsidRPr="00CA0CDB">
        <w:rPr>
          <w:rFonts w:ascii="Arial" w:eastAsia="Times New Roman" w:hAnsi="Arial" w:cs="Arial"/>
          <w:sz w:val="10"/>
          <w:szCs w:val="10"/>
          <w:vertAlign w:val="superscript"/>
        </w:rPr>
        <w:t>c</w:t>
      </w:r>
      <w:proofErr w:type="gramEnd"/>
      <w:r w:rsidRPr="00CA0CDB">
        <w:rPr>
          <w:rFonts w:ascii="Arial" w:eastAsia="Times New Roman" w:hAnsi="Arial" w:cs="Arial"/>
          <w:sz w:val="10"/>
          <w:szCs w:val="10"/>
        </w:rPr>
        <w:t> The emission standards applicable to emergency engines between 25 HP and 130 HP are in terms of NO</w:t>
      </w:r>
      <w:r w:rsidRPr="00CA0CDB">
        <w:rPr>
          <w:rFonts w:ascii="Arial" w:eastAsia="Times New Roman" w:hAnsi="Arial" w:cs="Arial"/>
          <w:sz w:val="10"/>
          <w:szCs w:val="10"/>
          <w:vertAlign w:val="subscript"/>
        </w:rPr>
        <w:t>X</w:t>
      </w:r>
      <w:r w:rsidRPr="00CA0CDB">
        <w:rPr>
          <w:rFonts w:ascii="Arial" w:eastAsia="Times New Roman" w:hAnsi="Arial" w:cs="Arial"/>
          <w:sz w:val="10"/>
          <w:szCs w:val="10"/>
        </w:rPr>
        <w:t>+ HC.</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gramStart"/>
      <w:r w:rsidRPr="00CA0CDB">
        <w:rPr>
          <w:rFonts w:ascii="Arial" w:eastAsia="Times New Roman" w:hAnsi="Arial" w:cs="Arial"/>
          <w:sz w:val="10"/>
          <w:szCs w:val="10"/>
          <w:vertAlign w:val="superscript"/>
        </w:rPr>
        <w:t>d</w:t>
      </w:r>
      <w:proofErr w:type="gramEnd"/>
      <w:r w:rsidRPr="00CA0CDB">
        <w:rPr>
          <w:rFonts w:ascii="Arial" w:eastAsia="Times New Roman" w:hAnsi="Arial" w:cs="Arial"/>
          <w:sz w:val="10"/>
          <w:szCs w:val="10"/>
        </w:rPr>
        <w:t> For purposes of this subpart, when calculating emissions of volatile organic compounds, emissions of formaldehyde should not be included.</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[76 FR 37975, June 28, 2011]</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32" w:name="40:7.0.1.1.1.98.266.20.65"/>
      <w:bookmarkEnd w:id="32"/>
      <w:r w:rsidRPr="00CA0CDB">
        <w:rPr>
          <w:rFonts w:ascii="Arial" w:eastAsia="Times New Roman" w:hAnsi="Arial" w:cs="Arial"/>
          <w:b/>
          <w:bCs/>
          <w:sz w:val="10"/>
          <w:szCs w:val="10"/>
        </w:rPr>
        <w:t>Table 2 to Subpart JJJJ of Part 60—Requirements for Performance Tests</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Table 2 to Subpart JJJJ of Part 60—Requirements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436"/>
        <w:gridCol w:w="1348"/>
        <w:gridCol w:w="1834"/>
        <w:gridCol w:w="2881"/>
        <w:gridCol w:w="1891"/>
      </w:tblGrid>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For each</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Complying with the</w:t>
            </w:r>
            <w:r w:rsidRPr="00CA0CDB">
              <w:rPr>
                <w:rFonts w:ascii="Arial" w:eastAsia="Times New Roman" w:hAnsi="Arial" w:cs="Arial"/>
                <w:b/>
                <w:bCs/>
                <w:sz w:val="10"/>
                <w:szCs w:val="10"/>
              </w:rPr>
              <w:br/>
              <w:t>requirement to</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You must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Using</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According to the following requirements</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 Stationary SI internal combustion engine demonstrating compliance according to § 60.4244.</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a. limit the concentration of </w:t>
            </w:r>
            <w:proofErr w:type="spellStart"/>
            <w:r w:rsidRPr="00CA0CDB">
              <w:rPr>
                <w:rFonts w:ascii="Arial" w:eastAsia="Times New Roman" w:hAnsi="Arial" w:cs="Arial"/>
                <w:sz w:val="10"/>
                <w:szCs w:val="10"/>
              </w:rPr>
              <w:t>NO</w:t>
            </w:r>
            <w:r w:rsidRPr="00CA0CDB">
              <w:rPr>
                <w:rFonts w:ascii="Arial" w:eastAsia="Times New Roman" w:hAnsi="Arial" w:cs="Arial"/>
                <w:sz w:val="10"/>
                <w:szCs w:val="10"/>
                <w:vertAlign w:val="subscript"/>
              </w:rPr>
              <w:t>X</w:t>
            </w:r>
            <w:r w:rsidRPr="00CA0CDB">
              <w:rPr>
                <w:rFonts w:ascii="Arial" w:eastAsia="Times New Roman" w:hAnsi="Arial" w:cs="Arial"/>
                <w:sz w:val="10"/>
                <w:szCs w:val="10"/>
              </w:rPr>
              <w:t>in</w:t>
            </w:r>
            <w:proofErr w:type="spellEnd"/>
            <w:r w:rsidRPr="00CA0CDB">
              <w:rPr>
                <w:rFonts w:ascii="Arial" w:eastAsia="Times New Roman" w:hAnsi="Arial" w:cs="Arial"/>
                <w:sz w:val="10"/>
                <w:szCs w:val="10"/>
              </w:rPr>
              <w:t xml:space="preserve"> the stationary SI internal combustion engine exhaust</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Select the sampling port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 Method 1 or 1A of 40 CFR part 60, Appendix A or ASTM Method D6522-00 (Reapproved 2005). </w:t>
            </w:r>
            <w:r w:rsidRPr="00CA0CDB">
              <w:rPr>
                <w:rFonts w:ascii="Arial" w:eastAsia="Times New Roman" w:hAnsi="Arial" w:cs="Arial"/>
                <w:sz w:val="10"/>
                <w:szCs w:val="10"/>
                <w:vertAlign w:val="superscript"/>
              </w:rPr>
              <w:t>a 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(a) If using a control device, the sampling site must be located at the outlet of the control device.</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ii. Determine the O</w:t>
            </w:r>
            <w:r w:rsidRPr="00CA0CDB">
              <w:rPr>
                <w:rFonts w:ascii="Arial" w:eastAsia="Times New Roman" w:hAnsi="Arial" w:cs="Arial"/>
                <w:sz w:val="10"/>
                <w:szCs w:val="10"/>
                <w:vertAlign w:val="subscript"/>
              </w:rPr>
              <w:t>2</w:t>
            </w:r>
            <w:r w:rsidRPr="00CA0CDB">
              <w:rPr>
                <w:rFonts w:ascii="Arial" w:eastAsia="Times New Roman" w:hAnsi="Arial" w:cs="Arial"/>
                <w:sz w:val="10"/>
                <w:szCs w:val="10"/>
              </w:rPr>
              <w:t>concentration of the stationary internal combustion engine exhaust at the sampling port location;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 Method 3, 3A, or 3B </w:t>
            </w:r>
            <w:proofErr w:type="spellStart"/>
            <w:r w:rsidRPr="00CA0CDB">
              <w:rPr>
                <w:rFonts w:ascii="Arial" w:eastAsia="Times New Roman" w:hAnsi="Arial" w:cs="Arial"/>
                <w:sz w:val="10"/>
                <w:szCs w:val="10"/>
                <w:vertAlign w:val="superscript"/>
              </w:rPr>
              <w:t>b</w:t>
            </w:r>
            <w:r w:rsidRPr="00CA0CDB">
              <w:rPr>
                <w:rFonts w:ascii="Arial" w:eastAsia="Times New Roman" w:hAnsi="Arial" w:cs="Arial"/>
                <w:sz w:val="10"/>
                <w:szCs w:val="10"/>
              </w:rPr>
              <w:t>of</w:t>
            </w:r>
            <w:proofErr w:type="spellEnd"/>
            <w:r w:rsidRPr="00CA0CDB">
              <w:rPr>
                <w:rFonts w:ascii="Arial" w:eastAsia="Times New Roman" w:hAnsi="Arial" w:cs="Arial"/>
                <w:sz w:val="10"/>
                <w:szCs w:val="10"/>
              </w:rPr>
              <w:t xml:space="preserve"> 40 CFR part 60, appendix A or ASTM Method D6522-00 (Reapproved 2005). </w:t>
            </w:r>
            <w:r w:rsidRPr="00CA0CDB">
              <w:rPr>
                <w:rFonts w:ascii="Arial" w:eastAsia="Times New Roman" w:hAnsi="Arial" w:cs="Arial"/>
                <w:sz w:val="10"/>
                <w:szCs w:val="10"/>
                <w:vertAlign w:val="superscript"/>
              </w:rPr>
              <w:t>a 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(b) Measurements to determine O</w:t>
            </w:r>
            <w:r w:rsidRPr="00CA0CDB">
              <w:rPr>
                <w:rFonts w:ascii="Arial" w:eastAsia="Times New Roman" w:hAnsi="Arial" w:cs="Arial"/>
                <w:sz w:val="10"/>
                <w:szCs w:val="10"/>
                <w:vertAlign w:val="subscript"/>
              </w:rPr>
              <w:t>2</w:t>
            </w:r>
            <w:r w:rsidRPr="00CA0CDB">
              <w:rPr>
                <w:rFonts w:ascii="Arial" w:eastAsia="Times New Roman" w:hAnsi="Arial" w:cs="Arial"/>
                <w:sz w:val="10"/>
                <w:szCs w:val="10"/>
              </w:rPr>
              <w:t xml:space="preserve">concentration must be made at the same time as the measurements for </w:t>
            </w:r>
            <w:proofErr w:type="spellStart"/>
            <w:r w:rsidRPr="00CA0CDB">
              <w:rPr>
                <w:rFonts w:ascii="Arial" w:eastAsia="Times New Roman" w:hAnsi="Arial" w:cs="Arial"/>
                <w:sz w:val="10"/>
                <w:szCs w:val="10"/>
              </w:rPr>
              <w:t>NO</w:t>
            </w:r>
            <w:r w:rsidRPr="00CA0CDB">
              <w:rPr>
                <w:rFonts w:ascii="Arial" w:eastAsia="Times New Roman" w:hAnsi="Arial" w:cs="Arial"/>
                <w:sz w:val="10"/>
                <w:szCs w:val="10"/>
                <w:vertAlign w:val="subscript"/>
              </w:rPr>
              <w:t>X</w:t>
            </w:r>
            <w:r w:rsidRPr="00CA0CDB">
              <w:rPr>
                <w:rFonts w:ascii="Arial" w:eastAsia="Times New Roman" w:hAnsi="Arial" w:cs="Arial"/>
                <w:sz w:val="10"/>
                <w:szCs w:val="10"/>
              </w:rPr>
              <w:t>concentration</w:t>
            </w:r>
            <w:proofErr w:type="spellEnd"/>
            <w:r w:rsidRPr="00CA0CDB">
              <w:rPr>
                <w:rFonts w:ascii="Arial" w:eastAsia="Times New Roman" w:hAnsi="Arial" w:cs="Arial"/>
                <w:sz w:val="10"/>
                <w:szCs w:val="10"/>
              </w:rPr>
              <w:t>.</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iii. If necessary, determine the exhaust </w:t>
            </w:r>
            <w:proofErr w:type="spellStart"/>
            <w:r w:rsidRPr="00CA0CDB">
              <w:rPr>
                <w:rFonts w:ascii="Arial" w:eastAsia="Times New Roman" w:hAnsi="Arial" w:cs="Arial"/>
                <w:sz w:val="10"/>
                <w:szCs w:val="10"/>
              </w:rPr>
              <w:t>flowrate</w:t>
            </w:r>
            <w:proofErr w:type="spellEnd"/>
            <w:r w:rsidRPr="00CA0CDB">
              <w:rPr>
                <w:rFonts w:ascii="Arial" w:eastAsia="Times New Roman" w:hAnsi="Arial" w:cs="Arial"/>
                <w:sz w:val="10"/>
                <w:szCs w:val="10"/>
              </w:rPr>
              <w:t xml:space="preserve"> of the stationary internal combustion engine exhaust;</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(3) Method 2 or 19 of 40 CFR part 60, appendix A.</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iv. If necessary, measure moisture content of the stationary internal combustion engine exhaust at the sampling port location; and</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(4) Method 4 of 40 CFR part 60, appendix A, Method 320 of 40 CFR part 63, appendix A, or ASTM D 6348-03. </w:t>
            </w:r>
            <w:r w:rsidRPr="00CA0CDB">
              <w:rPr>
                <w:rFonts w:ascii="Arial" w:eastAsia="Times New Roman" w:hAnsi="Arial" w:cs="Arial"/>
                <w:sz w:val="10"/>
                <w:szCs w:val="10"/>
                <w:vertAlign w:val="superscript"/>
              </w:rPr>
              <w:t>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(c) Measurements to determine moisture must be made at the same time as the </w:t>
            </w:r>
            <w:proofErr w:type="spellStart"/>
            <w:r w:rsidRPr="00CA0CDB">
              <w:rPr>
                <w:rFonts w:ascii="Arial" w:eastAsia="Times New Roman" w:hAnsi="Arial" w:cs="Arial"/>
                <w:sz w:val="10"/>
                <w:szCs w:val="10"/>
              </w:rPr>
              <w:t>measurementfor</w:t>
            </w:r>
            <w:proofErr w:type="spellEnd"/>
            <w:r w:rsidRPr="00CA0CDB">
              <w:rPr>
                <w:rFonts w:ascii="Arial" w:eastAsia="Times New Roman" w:hAnsi="Arial" w:cs="Arial"/>
                <w:sz w:val="10"/>
                <w:szCs w:val="10"/>
              </w:rPr>
              <w:t xml:space="preserve"> </w:t>
            </w:r>
            <w:proofErr w:type="spellStart"/>
            <w:r w:rsidRPr="00CA0CDB">
              <w:rPr>
                <w:rFonts w:ascii="Arial" w:eastAsia="Times New Roman" w:hAnsi="Arial" w:cs="Arial"/>
                <w:sz w:val="10"/>
                <w:szCs w:val="10"/>
              </w:rPr>
              <w:t>NO</w:t>
            </w:r>
            <w:r w:rsidRPr="00CA0CDB">
              <w:rPr>
                <w:rFonts w:ascii="Arial" w:eastAsia="Times New Roman" w:hAnsi="Arial" w:cs="Arial"/>
                <w:sz w:val="10"/>
                <w:szCs w:val="10"/>
                <w:vertAlign w:val="subscript"/>
              </w:rPr>
              <w:t>X</w:t>
            </w:r>
            <w:r w:rsidRPr="00CA0CDB">
              <w:rPr>
                <w:rFonts w:ascii="Arial" w:eastAsia="Times New Roman" w:hAnsi="Arial" w:cs="Arial"/>
                <w:sz w:val="10"/>
                <w:szCs w:val="10"/>
              </w:rPr>
              <w:t>concentration</w:t>
            </w:r>
            <w:proofErr w:type="spellEnd"/>
            <w:r w:rsidRPr="00CA0CDB">
              <w:rPr>
                <w:rFonts w:ascii="Arial" w:eastAsia="Times New Roman" w:hAnsi="Arial" w:cs="Arial"/>
                <w:sz w:val="10"/>
                <w:szCs w:val="10"/>
              </w:rPr>
              <w:t>.</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v. Measure </w:t>
            </w:r>
            <w:proofErr w:type="spellStart"/>
            <w:r w:rsidRPr="00CA0CDB">
              <w:rPr>
                <w:rFonts w:ascii="Arial" w:eastAsia="Times New Roman" w:hAnsi="Arial" w:cs="Arial"/>
                <w:sz w:val="10"/>
                <w:szCs w:val="10"/>
              </w:rPr>
              <w:t>NO</w:t>
            </w:r>
            <w:r w:rsidRPr="00CA0CDB">
              <w:rPr>
                <w:rFonts w:ascii="Arial" w:eastAsia="Times New Roman" w:hAnsi="Arial" w:cs="Arial"/>
                <w:sz w:val="10"/>
                <w:szCs w:val="10"/>
                <w:vertAlign w:val="subscript"/>
              </w:rPr>
              <w:t>X</w:t>
            </w:r>
            <w:r w:rsidRPr="00CA0CDB">
              <w:rPr>
                <w:rFonts w:ascii="Arial" w:eastAsia="Times New Roman" w:hAnsi="Arial" w:cs="Arial"/>
                <w:sz w:val="10"/>
                <w:szCs w:val="10"/>
              </w:rPr>
              <w:t>at</w:t>
            </w:r>
            <w:proofErr w:type="spellEnd"/>
            <w:r w:rsidRPr="00CA0CDB">
              <w:rPr>
                <w:rFonts w:ascii="Arial" w:eastAsia="Times New Roman" w:hAnsi="Arial" w:cs="Arial"/>
                <w:sz w:val="10"/>
                <w:szCs w:val="10"/>
              </w:rPr>
              <w:t xml:space="preserve"> the exhaust of the stationary internal combustion engine.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 Method 7E of 40 CFR part 60, appendix A, Method D6522-00 (Reapproved 2005) </w:t>
            </w:r>
            <w:proofErr w:type="gramStart"/>
            <w:r w:rsidRPr="00CA0CDB">
              <w:rPr>
                <w:rFonts w:ascii="Arial" w:eastAsia="Times New Roman" w:hAnsi="Arial" w:cs="Arial"/>
                <w:sz w:val="10"/>
                <w:szCs w:val="10"/>
                <w:vertAlign w:val="superscript"/>
              </w:rPr>
              <w:t>a</w:t>
            </w:r>
            <w:proofErr w:type="gramEnd"/>
            <w:r w:rsidRPr="00CA0CDB">
              <w:rPr>
                <w:rFonts w:ascii="Arial" w:eastAsia="Times New Roman" w:hAnsi="Arial" w:cs="Arial"/>
                <w:sz w:val="10"/>
                <w:szCs w:val="10"/>
                <w:vertAlign w:val="superscript"/>
              </w:rPr>
              <w:t xml:space="preserve"> e</w:t>
            </w:r>
            <w:r w:rsidRPr="00CA0CDB">
              <w:rPr>
                <w:rFonts w:ascii="Arial" w:eastAsia="Times New Roman" w:hAnsi="Arial" w:cs="Arial"/>
                <w:sz w:val="10"/>
                <w:szCs w:val="10"/>
              </w:rPr>
              <w:t>, Method 320 of 40 CFR part 63, appendix A, or ASTM D 6348-03. </w:t>
            </w:r>
            <w:r w:rsidRPr="00CA0CDB">
              <w:rPr>
                <w:rFonts w:ascii="Arial" w:eastAsia="Times New Roman" w:hAnsi="Arial" w:cs="Arial"/>
                <w:sz w:val="10"/>
                <w:szCs w:val="10"/>
                <w:vertAlign w:val="superscript"/>
              </w:rPr>
              <w:t>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(d) Results of this test consist of the average of the three </w:t>
            </w:r>
            <w:proofErr w:type="gramStart"/>
            <w:r w:rsidRPr="00CA0CDB">
              <w:rPr>
                <w:rFonts w:ascii="Arial" w:eastAsia="Times New Roman" w:hAnsi="Arial" w:cs="Arial"/>
                <w:sz w:val="10"/>
                <w:szCs w:val="10"/>
              </w:rPr>
              <w:t>1-hour</w:t>
            </w:r>
            <w:proofErr w:type="gramEnd"/>
            <w:r w:rsidRPr="00CA0CDB">
              <w:rPr>
                <w:rFonts w:ascii="Arial" w:eastAsia="Times New Roman" w:hAnsi="Arial" w:cs="Arial"/>
                <w:sz w:val="10"/>
                <w:szCs w:val="10"/>
              </w:rPr>
              <w:t xml:space="preserve"> or longer runs.</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b. limit the concentration of CO in the stationary SI internal combustion engine exhaust</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Select the sampling port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 Method 1 or 1A of 40 CFR part 60, appendix A or ASTM Method D6522-00 (Reapproved 2005). </w:t>
            </w:r>
            <w:r w:rsidRPr="00CA0CDB">
              <w:rPr>
                <w:rFonts w:ascii="Arial" w:eastAsia="Times New Roman" w:hAnsi="Arial" w:cs="Arial"/>
                <w:sz w:val="10"/>
                <w:szCs w:val="10"/>
                <w:vertAlign w:val="superscript"/>
              </w:rPr>
              <w:t>a 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(a) If using a control device, the sampling site must be located at the outlet of the control device.</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ii. Determine the O</w:t>
            </w:r>
            <w:r w:rsidRPr="00CA0CDB">
              <w:rPr>
                <w:rFonts w:ascii="Arial" w:eastAsia="Times New Roman" w:hAnsi="Arial" w:cs="Arial"/>
                <w:sz w:val="10"/>
                <w:szCs w:val="10"/>
                <w:vertAlign w:val="subscript"/>
              </w:rPr>
              <w:t>2</w:t>
            </w:r>
            <w:r w:rsidRPr="00CA0CDB">
              <w:rPr>
                <w:rFonts w:ascii="Arial" w:eastAsia="Times New Roman" w:hAnsi="Arial" w:cs="Arial"/>
                <w:sz w:val="10"/>
                <w:szCs w:val="10"/>
              </w:rPr>
              <w:t>concentration of the stationary internal combustion engine exhaust at the sampling port location;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 Method 3, 3A, or 3B </w:t>
            </w:r>
            <w:proofErr w:type="spellStart"/>
            <w:r w:rsidRPr="00CA0CDB">
              <w:rPr>
                <w:rFonts w:ascii="Arial" w:eastAsia="Times New Roman" w:hAnsi="Arial" w:cs="Arial"/>
                <w:sz w:val="10"/>
                <w:szCs w:val="10"/>
                <w:vertAlign w:val="superscript"/>
              </w:rPr>
              <w:t>b</w:t>
            </w:r>
            <w:r w:rsidRPr="00CA0CDB">
              <w:rPr>
                <w:rFonts w:ascii="Arial" w:eastAsia="Times New Roman" w:hAnsi="Arial" w:cs="Arial"/>
                <w:sz w:val="10"/>
                <w:szCs w:val="10"/>
              </w:rPr>
              <w:t>of</w:t>
            </w:r>
            <w:proofErr w:type="spellEnd"/>
            <w:r w:rsidRPr="00CA0CDB">
              <w:rPr>
                <w:rFonts w:ascii="Arial" w:eastAsia="Times New Roman" w:hAnsi="Arial" w:cs="Arial"/>
                <w:sz w:val="10"/>
                <w:szCs w:val="10"/>
              </w:rPr>
              <w:t xml:space="preserve"> 40 CFR part 60, appendix A or ASTM Method D6522-00 (Reapproved 2005). </w:t>
            </w:r>
            <w:r w:rsidRPr="00CA0CDB">
              <w:rPr>
                <w:rFonts w:ascii="Arial" w:eastAsia="Times New Roman" w:hAnsi="Arial" w:cs="Arial"/>
                <w:sz w:val="10"/>
                <w:szCs w:val="10"/>
                <w:vertAlign w:val="superscript"/>
              </w:rPr>
              <w:t>a 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(b) Measurements to determine O</w:t>
            </w:r>
            <w:r w:rsidRPr="00CA0CDB">
              <w:rPr>
                <w:rFonts w:ascii="Arial" w:eastAsia="Times New Roman" w:hAnsi="Arial" w:cs="Arial"/>
                <w:sz w:val="10"/>
                <w:szCs w:val="10"/>
                <w:vertAlign w:val="subscript"/>
              </w:rPr>
              <w:t>2</w:t>
            </w:r>
            <w:r w:rsidRPr="00CA0CDB">
              <w:rPr>
                <w:rFonts w:ascii="Arial" w:eastAsia="Times New Roman" w:hAnsi="Arial" w:cs="Arial"/>
                <w:sz w:val="10"/>
                <w:szCs w:val="10"/>
              </w:rPr>
              <w:t>concentration must be made at the same time as the measurements for CO concentration.</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iii. If necessary, determine the exhaust </w:t>
            </w:r>
            <w:proofErr w:type="spellStart"/>
            <w:r w:rsidRPr="00CA0CDB">
              <w:rPr>
                <w:rFonts w:ascii="Arial" w:eastAsia="Times New Roman" w:hAnsi="Arial" w:cs="Arial"/>
                <w:sz w:val="10"/>
                <w:szCs w:val="10"/>
              </w:rPr>
              <w:t>flowrate</w:t>
            </w:r>
            <w:proofErr w:type="spellEnd"/>
            <w:r w:rsidRPr="00CA0CDB">
              <w:rPr>
                <w:rFonts w:ascii="Arial" w:eastAsia="Times New Roman" w:hAnsi="Arial" w:cs="Arial"/>
                <w:sz w:val="10"/>
                <w:szCs w:val="10"/>
              </w:rPr>
              <w:t xml:space="preserve"> of the stationary internal combustion engine exhaust;</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(3) Method 2 or 19 of 40 CFR part 60, appendix A.</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iv. If necessary, measure moisture content of the stationary internal combustion engine exhaust at the sampling port location; and</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(4) Method 4 of 40 CFR part 60, appendix A, Method 320 of 40 CFR part 63, appendix A, or ASTM D 6348-03. </w:t>
            </w:r>
            <w:r w:rsidRPr="00CA0CDB">
              <w:rPr>
                <w:rFonts w:ascii="Arial" w:eastAsia="Times New Roman" w:hAnsi="Arial" w:cs="Arial"/>
                <w:sz w:val="10"/>
                <w:szCs w:val="10"/>
                <w:vertAlign w:val="superscript"/>
              </w:rPr>
              <w:t>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(c) Measurements to determine moisture must be made at the same time as the measurement for CO concentration.</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roofErr w:type="gramStart"/>
            <w:r w:rsidRPr="00CA0CDB">
              <w:rPr>
                <w:rFonts w:ascii="Arial" w:eastAsia="Times New Roman" w:hAnsi="Arial" w:cs="Arial"/>
                <w:sz w:val="10"/>
                <w:szCs w:val="10"/>
              </w:rPr>
              <w:t>v. Measure</w:t>
            </w:r>
            <w:proofErr w:type="gramEnd"/>
            <w:r w:rsidRPr="00CA0CDB">
              <w:rPr>
                <w:rFonts w:ascii="Arial" w:eastAsia="Times New Roman" w:hAnsi="Arial" w:cs="Arial"/>
                <w:sz w:val="10"/>
                <w:szCs w:val="10"/>
              </w:rPr>
              <w:t xml:space="preserve"> CO at the exhaust of the stationary internal combustion engine.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 Method 10 of 40 CFR part 60, appendix A, ASTM Method D6522-00 (Reapproved 2005) </w:t>
            </w:r>
            <w:proofErr w:type="gramStart"/>
            <w:r w:rsidRPr="00CA0CDB">
              <w:rPr>
                <w:rFonts w:ascii="Arial" w:eastAsia="Times New Roman" w:hAnsi="Arial" w:cs="Arial"/>
                <w:sz w:val="10"/>
                <w:szCs w:val="10"/>
                <w:vertAlign w:val="superscript"/>
              </w:rPr>
              <w:t>a</w:t>
            </w:r>
            <w:proofErr w:type="gramEnd"/>
            <w:r w:rsidRPr="00CA0CDB">
              <w:rPr>
                <w:rFonts w:ascii="Arial" w:eastAsia="Times New Roman" w:hAnsi="Arial" w:cs="Arial"/>
                <w:sz w:val="10"/>
                <w:szCs w:val="10"/>
                <w:vertAlign w:val="superscript"/>
              </w:rPr>
              <w:t xml:space="preserve"> e</w:t>
            </w:r>
            <w:r w:rsidRPr="00CA0CDB">
              <w:rPr>
                <w:rFonts w:ascii="Arial" w:eastAsia="Times New Roman" w:hAnsi="Arial" w:cs="Arial"/>
                <w:sz w:val="10"/>
                <w:szCs w:val="10"/>
              </w:rPr>
              <w:t>, Method 320 of 40 CFR part 63, appendix A, or ASTM D 6348-03. </w:t>
            </w:r>
            <w:r w:rsidRPr="00CA0CDB">
              <w:rPr>
                <w:rFonts w:ascii="Arial" w:eastAsia="Times New Roman" w:hAnsi="Arial" w:cs="Arial"/>
                <w:sz w:val="10"/>
                <w:szCs w:val="10"/>
                <w:vertAlign w:val="superscript"/>
              </w:rPr>
              <w:t>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(d) Results of this test consist of the average of the three </w:t>
            </w:r>
            <w:proofErr w:type="gramStart"/>
            <w:r w:rsidRPr="00CA0CDB">
              <w:rPr>
                <w:rFonts w:ascii="Arial" w:eastAsia="Times New Roman" w:hAnsi="Arial" w:cs="Arial"/>
                <w:sz w:val="10"/>
                <w:szCs w:val="10"/>
              </w:rPr>
              <w:t>1-hour</w:t>
            </w:r>
            <w:proofErr w:type="gramEnd"/>
            <w:r w:rsidRPr="00CA0CDB">
              <w:rPr>
                <w:rFonts w:ascii="Arial" w:eastAsia="Times New Roman" w:hAnsi="Arial" w:cs="Arial"/>
                <w:sz w:val="10"/>
                <w:szCs w:val="10"/>
              </w:rPr>
              <w:t xml:space="preserve"> or longer runs.</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c. limit the concentration of VOC in the stationary SI internal combustion engine exhaust</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roofErr w:type="spellStart"/>
            <w:r w:rsidRPr="00CA0CDB">
              <w:rPr>
                <w:rFonts w:ascii="Arial" w:eastAsia="Times New Roman" w:hAnsi="Arial" w:cs="Arial"/>
                <w:sz w:val="10"/>
                <w:szCs w:val="10"/>
              </w:rPr>
              <w:t>i</w:t>
            </w:r>
            <w:proofErr w:type="spellEnd"/>
            <w:r w:rsidRPr="00CA0CDB">
              <w:rPr>
                <w:rFonts w:ascii="Arial" w:eastAsia="Times New Roman" w:hAnsi="Arial" w:cs="Arial"/>
                <w:sz w:val="10"/>
                <w:szCs w:val="10"/>
              </w:rPr>
              <w:t>. Select the sampling port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 Method 1 or 1A of 40 CFR part 60, appendix A.</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(a) If using a control device, the sampling site must be located at the outlet of the control device.</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ii. Determine the O</w:t>
            </w:r>
            <w:r w:rsidRPr="00CA0CDB">
              <w:rPr>
                <w:rFonts w:ascii="Arial" w:eastAsia="Times New Roman" w:hAnsi="Arial" w:cs="Arial"/>
                <w:sz w:val="10"/>
                <w:szCs w:val="10"/>
                <w:vertAlign w:val="subscript"/>
              </w:rPr>
              <w:t>2</w:t>
            </w:r>
            <w:r w:rsidRPr="00CA0CDB">
              <w:rPr>
                <w:rFonts w:ascii="Arial" w:eastAsia="Times New Roman" w:hAnsi="Arial" w:cs="Arial"/>
                <w:sz w:val="10"/>
                <w:szCs w:val="10"/>
              </w:rPr>
              <w:t>concentration of the stationary internal combustion engine exhaust at the sampling port location;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(2) Method 3, 3A, or 3B </w:t>
            </w:r>
            <w:proofErr w:type="spellStart"/>
            <w:r w:rsidRPr="00CA0CDB">
              <w:rPr>
                <w:rFonts w:ascii="Arial" w:eastAsia="Times New Roman" w:hAnsi="Arial" w:cs="Arial"/>
                <w:sz w:val="10"/>
                <w:szCs w:val="10"/>
                <w:vertAlign w:val="superscript"/>
              </w:rPr>
              <w:t>b</w:t>
            </w:r>
            <w:r w:rsidRPr="00CA0CDB">
              <w:rPr>
                <w:rFonts w:ascii="Arial" w:eastAsia="Times New Roman" w:hAnsi="Arial" w:cs="Arial"/>
                <w:sz w:val="10"/>
                <w:szCs w:val="10"/>
              </w:rPr>
              <w:t>of</w:t>
            </w:r>
            <w:proofErr w:type="spellEnd"/>
            <w:r w:rsidRPr="00CA0CDB">
              <w:rPr>
                <w:rFonts w:ascii="Arial" w:eastAsia="Times New Roman" w:hAnsi="Arial" w:cs="Arial"/>
                <w:sz w:val="10"/>
                <w:szCs w:val="10"/>
              </w:rPr>
              <w:t xml:space="preserve"> 40 CFR part 60, appendix A or ASTM Method D6522-00 (Reapproved 2005). </w:t>
            </w:r>
            <w:r w:rsidRPr="00CA0CDB">
              <w:rPr>
                <w:rFonts w:ascii="Arial" w:eastAsia="Times New Roman" w:hAnsi="Arial" w:cs="Arial"/>
                <w:sz w:val="10"/>
                <w:szCs w:val="10"/>
                <w:vertAlign w:val="superscript"/>
              </w:rPr>
              <w:t>a 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(b) Measurements to determine O</w:t>
            </w:r>
            <w:r w:rsidRPr="00CA0CDB">
              <w:rPr>
                <w:rFonts w:ascii="Arial" w:eastAsia="Times New Roman" w:hAnsi="Arial" w:cs="Arial"/>
                <w:sz w:val="10"/>
                <w:szCs w:val="10"/>
                <w:vertAlign w:val="subscript"/>
              </w:rPr>
              <w:t>2</w:t>
            </w:r>
            <w:r w:rsidRPr="00CA0CDB">
              <w:rPr>
                <w:rFonts w:ascii="Arial" w:eastAsia="Times New Roman" w:hAnsi="Arial" w:cs="Arial"/>
                <w:sz w:val="10"/>
                <w:szCs w:val="10"/>
              </w:rPr>
              <w:t>concentration must be made at the same time as the measurements for VOC concentration.</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iii. If necessary, determine the exhaust </w:t>
            </w:r>
            <w:proofErr w:type="spellStart"/>
            <w:r w:rsidRPr="00CA0CDB">
              <w:rPr>
                <w:rFonts w:ascii="Arial" w:eastAsia="Times New Roman" w:hAnsi="Arial" w:cs="Arial"/>
                <w:sz w:val="10"/>
                <w:szCs w:val="10"/>
              </w:rPr>
              <w:t>flowrate</w:t>
            </w:r>
            <w:proofErr w:type="spellEnd"/>
            <w:r w:rsidRPr="00CA0CDB">
              <w:rPr>
                <w:rFonts w:ascii="Arial" w:eastAsia="Times New Roman" w:hAnsi="Arial" w:cs="Arial"/>
                <w:sz w:val="10"/>
                <w:szCs w:val="10"/>
              </w:rPr>
              <w:t xml:space="preserve"> of the stationary internal combustion engine exhaust;</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(3) Method 2 or 19 of 40 CFR part 60, appendix A.</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iv. If necessary, measure moisture content of the stationary internal combustion engine exhaust at the sampling port location; and</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(4) Method 4 of 40 CFR part 60, appendix A, Method 320 of 40 CFR part 63, appendix A, or ASTM D 6348-03. </w:t>
            </w:r>
            <w:r w:rsidRPr="00CA0CDB">
              <w:rPr>
                <w:rFonts w:ascii="Arial" w:eastAsia="Times New Roman" w:hAnsi="Arial" w:cs="Arial"/>
                <w:sz w:val="10"/>
                <w:szCs w:val="10"/>
                <w:vertAlign w:val="superscript"/>
              </w:rPr>
              <w:t>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(c) Measurements to determine moisture must be made at the same time as the </w:t>
            </w:r>
            <w:proofErr w:type="spellStart"/>
            <w:r w:rsidRPr="00CA0CDB">
              <w:rPr>
                <w:rFonts w:ascii="Arial" w:eastAsia="Times New Roman" w:hAnsi="Arial" w:cs="Arial"/>
                <w:sz w:val="10"/>
                <w:szCs w:val="10"/>
              </w:rPr>
              <w:t>measurementfor</w:t>
            </w:r>
            <w:proofErr w:type="spellEnd"/>
            <w:r w:rsidRPr="00CA0CDB">
              <w:rPr>
                <w:rFonts w:ascii="Arial" w:eastAsia="Times New Roman" w:hAnsi="Arial" w:cs="Arial"/>
                <w:sz w:val="10"/>
                <w:szCs w:val="10"/>
              </w:rPr>
              <w:t xml:space="preserve"> VOC concentration.</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v. Measure VOC at the exhaust of the stationary internal combustion engine.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(5) Methods 25A and 18 of 40 CFR part 60, appendix A, Method 25A with the use of a methane cutter as described in 40 CFR 1065.265, Method 18 of 40 CFR part 60, appendix A, </w:t>
            </w:r>
            <w:r w:rsidRPr="00CA0CDB">
              <w:rPr>
                <w:rFonts w:ascii="Arial" w:eastAsia="Times New Roman" w:hAnsi="Arial" w:cs="Arial"/>
                <w:sz w:val="10"/>
                <w:szCs w:val="10"/>
                <w:vertAlign w:val="superscript"/>
              </w:rPr>
              <w:t xml:space="preserve">c </w:t>
            </w:r>
            <w:proofErr w:type="spellStart"/>
            <w:r w:rsidRPr="00CA0CDB">
              <w:rPr>
                <w:rFonts w:ascii="Arial" w:eastAsia="Times New Roman" w:hAnsi="Arial" w:cs="Arial"/>
                <w:sz w:val="10"/>
                <w:szCs w:val="10"/>
                <w:vertAlign w:val="superscript"/>
              </w:rPr>
              <w:t>d</w:t>
            </w:r>
            <w:r w:rsidRPr="00CA0CDB">
              <w:rPr>
                <w:rFonts w:ascii="Arial" w:eastAsia="Times New Roman" w:hAnsi="Arial" w:cs="Arial"/>
                <w:sz w:val="10"/>
                <w:szCs w:val="10"/>
              </w:rPr>
              <w:t>Method</w:t>
            </w:r>
            <w:proofErr w:type="spellEnd"/>
            <w:r w:rsidRPr="00CA0CDB">
              <w:rPr>
                <w:rFonts w:ascii="Arial" w:eastAsia="Times New Roman" w:hAnsi="Arial" w:cs="Arial"/>
                <w:sz w:val="10"/>
                <w:szCs w:val="10"/>
              </w:rPr>
              <w:t xml:space="preserve"> 320 of 40 CFR part 63, appendix A, or ASTM D 6348-03. </w:t>
            </w:r>
            <w:r w:rsidRPr="00CA0CDB">
              <w:rPr>
                <w:rFonts w:ascii="Arial" w:eastAsia="Times New Roman" w:hAnsi="Arial" w:cs="Arial"/>
                <w:sz w:val="10"/>
                <w:szCs w:val="10"/>
                <w:vertAlign w:val="superscript"/>
              </w:rPr>
              <w:t>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(d) Results of this test consist of the average of the three </w:t>
            </w:r>
            <w:proofErr w:type="gramStart"/>
            <w:r w:rsidRPr="00CA0CDB">
              <w:rPr>
                <w:rFonts w:ascii="Arial" w:eastAsia="Times New Roman" w:hAnsi="Arial" w:cs="Arial"/>
                <w:sz w:val="10"/>
                <w:szCs w:val="10"/>
              </w:rPr>
              <w:t>1-hour</w:t>
            </w:r>
            <w:proofErr w:type="gramEnd"/>
            <w:r w:rsidRPr="00CA0CDB">
              <w:rPr>
                <w:rFonts w:ascii="Arial" w:eastAsia="Times New Roman" w:hAnsi="Arial" w:cs="Arial"/>
                <w:sz w:val="10"/>
                <w:szCs w:val="10"/>
              </w:rPr>
              <w:t xml:space="preserve"> or longer runs.</w:t>
            </w:r>
          </w:p>
        </w:tc>
      </w:tr>
    </w:tbl>
    <w:p w:rsidR="0011487A" w:rsidRDefault="0011487A" w:rsidP="00CA0CDB">
      <w:pPr>
        <w:spacing w:before="100" w:beforeAutospacing="1" w:after="100" w:afterAutospacing="1" w:line="240" w:lineRule="auto"/>
        <w:ind w:firstLine="480"/>
        <w:rPr>
          <w:rFonts w:ascii="Arial" w:eastAsia="Times New Roman" w:hAnsi="Arial" w:cs="Arial"/>
          <w:sz w:val="10"/>
          <w:szCs w:val="10"/>
          <w:vertAlign w:val="superscript"/>
        </w:rPr>
      </w:pPr>
    </w:p>
    <w:p w:rsidR="0011487A" w:rsidRDefault="0011487A">
      <w:pPr>
        <w:rPr>
          <w:rFonts w:ascii="Arial" w:eastAsia="Times New Roman" w:hAnsi="Arial" w:cs="Arial"/>
          <w:sz w:val="10"/>
          <w:szCs w:val="10"/>
          <w:vertAlign w:val="superscript"/>
        </w:rPr>
      </w:pPr>
      <w:r>
        <w:rPr>
          <w:rFonts w:ascii="Arial" w:eastAsia="Times New Roman" w:hAnsi="Arial" w:cs="Arial"/>
          <w:sz w:val="10"/>
          <w:szCs w:val="10"/>
          <w:vertAlign w:val="superscript"/>
        </w:rPr>
        <w:br w:type="page"/>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gramStart"/>
      <w:r w:rsidRPr="00CA0CDB">
        <w:rPr>
          <w:rFonts w:ascii="Arial" w:eastAsia="Times New Roman" w:hAnsi="Arial" w:cs="Arial"/>
          <w:sz w:val="10"/>
          <w:szCs w:val="10"/>
          <w:vertAlign w:val="superscript"/>
        </w:rPr>
        <w:t>a</w:t>
      </w:r>
      <w:proofErr w:type="gramEnd"/>
      <w:r w:rsidRPr="00CA0CDB">
        <w:rPr>
          <w:rFonts w:ascii="Arial" w:eastAsia="Times New Roman" w:hAnsi="Arial" w:cs="Arial"/>
          <w:sz w:val="10"/>
          <w:szCs w:val="10"/>
        </w:rPr>
        <w:t> You may petition the Administrator for approval to use alternative methods for portable analyzer.</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gramStart"/>
      <w:r w:rsidRPr="00CA0CDB">
        <w:rPr>
          <w:rFonts w:ascii="Arial" w:eastAsia="Times New Roman" w:hAnsi="Arial" w:cs="Arial"/>
          <w:sz w:val="10"/>
          <w:szCs w:val="10"/>
          <w:vertAlign w:val="superscript"/>
        </w:rPr>
        <w:t>b</w:t>
      </w:r>
      <w:proofErr w:type="gramEnd"/>
      <w:r w:rsidRPr="00CA0CDB">
        <w:rPr>
          <w:rFonts w:ascii="Arial" w:eastAsia="Times New Roman" w:hAnsi="Arial" w:cs="Arial"/>
          <w:sz w:val="10"/>
          <w:szCs w:val="10"/>
        </w:rPr>
        <w:t> You may use ASME PTC 19.10-1981, Flue and Exhaust Gas Analyses, for measuring the O</w:t>
      </w:r>
      <w:r w:rsidRPr="00CA0CDB">
        <w:rPr>
          <w:rFonts w:ascii="Arial" w:eastAsia="Times New Roman" w:hAnsi="Arial" w:cs="Arial"/>
          <w:sz w:val="10"/>
          <w:szCs w:val="10"/>
          <w:vertAlign w:val="subscript"/>
        </w:rPr>
        <w:t>2</w:t>
      </w:r>
      <w:r w:rsidRPr="00CA0CDB">
        <w:rPr>
          <w:rFonts w:ascii="Arial" w:eastAsia="Times New Roman" w:hAnsi="Arial" w:cs="Arial"/>
          <w:sz w:val="10"/>
          <w:szCs w:val="10"/>
        </w:rPr>
        <w:t>content of the exhaust gas as an alternative to EPA Method 3B.</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vertAlign w:val="superscript"/>
        </w:rPr>
        <w:t>c</w:t>
      </w:r>
      <w:r w:rsidRPr="00CA0CDB">
        <w:rPr>
          <w:rFonts w:ascii="Arial" w:eastAsia="Times New Roman" w:hAnsi="Arial" w:cs="Arial"/>
          <w:sz w:val="10"/>
          <w:szCs w:val="10"/>
        </w:rPr>
        <w:t xml:space="preserve"> You may use EPA Method 18 of 40 CFR part 60, appendix, provided that you conduct an adequate </w:t>
      </w:r>
      <w:proofErr w:type="spellStart"/>
      <w:r w:rsidRPr="00CA0CDB">
        <w:rPr>
          <w:rFonts w:ascii="Arial" w:eastAsia="Times New Roman" w:hAnsi="Arial" w:cs="Arial"/>
          <w:sz w:val="10"/>
          <w:szCs w:val="10"/>
        </w:rPr>
        <w:t>presurvey</w:t>
      </w:r>
      <w:proofErr w:type="spellEnd"/>
      <w:r w:rsidRPr="00CA0CDB">
        <w:rPr>
          <w:rFonts w:ascii="Arial" w:eastAsia="Times New Roman" w:hAnsi="Arial" w:cs="Arial"/>
          <w:sz w:val="10"/>
          <w:szCs w:val="10"/>
        </w:rPr>
        <w:t xml:space="preserve"> test prior to the emissions test, such as the one described in OTM 11 on EPA's Web site (</w:t>
      </w:r>
      <w:r w:rsidRPr="00CA0CDB">
        <w:rPr>
          <w:rFonts w:ascii="Arial" w:eastAsia="Times New Roman" w:hAnsi="Arial" w:cs="Arial"/>
          <w:i/>
          <w:iCs/>
          <w:sz w:val="10"/>
        </w:rPr>
        <w:t>http://www.epa.gov/ttn/emc/prelim/otm11.pdf</w:t>
      </w:r>
      <w:r w:rsidRPr="00CA0CDB">
        <w:rPr>
          <w:rFonts w:ascii="Arial" w:eastAsia="Times New Roman" w:hAnsi="Arial" w:cs="Arial"/>
          <w:sz w:val="10"/>
          <w:szCs w:val="10"/>
        </w:rPr>
        <w:t>).</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gramStart"/>
      <w:r w:rsidRPr="00CA0CDB">
        <w:rPr>
          <w:rFonts w:ascii="Arial" w:eastAsia="Times New Roman" w:hAnsi="Arial" w:cs="Arial"/>
          <w:sz w:val="10"/>
          <w:szCs w:val="10"/>
          <w:vertAlign w:val="superscript"/>
        </w:rPr>
        <w:t>d</w:t>
      </w:r>
      <w:proofErr w:type="gramEnd"/>
      <w:r w:rsidRPr="00CA0CDB">
        <w:rPr>
          <w:rFonts w:ascii="Arial" w:eastAsia="Times New Roman" w:hAnsi="Arial" w:cs="Arial"/>
          <w:sz w:val="10"/>
          <w:szCs w:val="10"/>
        </w:rPr>
        <w:t xml:space="preserve"> You may use ASTM D6420-99 (2004), Test Method for Determination of Gaseous Organic Compounds by Direct Interface Gas Chromatography/Mass Spectrometry as an alternative to EPA Method 18 for measuring total </w:t>
      </w:r>
      <w:proofErr w:type="spellStart"/>
      <w:r w:rsidRPr="00CA0CDB">
        <w:rPr>
          <w:rFonts w:ascii="Arial" w:eastAsia="Times New Roman" w:hAnsi="Arial" w:cs="Arial"/>
          <w:sz w:val="10"/>
          <w:szCs w:val="10"/>
        </w:rPr>
        <w:t>nonmethane</w:t>
      </w:r>
      <w:proofErr w:type="spellEnd"/>
      <w:r w:rsidRPr="00CA0CDB">
        <w:rPr>
          <w:rFonts w:ascii="Arial" w:eastAsia="Times New Roman" w:hAnsi="Arial" w:cs="Arial"/>
          <w:sz w:val="10"/>
          <w:szCs w:val="10"/>
        </w:rPr>
        <w:t xml:space="preserve"> organic.</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proofErr w:type="gramStart"/>
      <w:r w:rsidRPr="00CA0CDB">
        <w:rPr>
          <w:rFonts w:ascii="Arial" w:eastAsia="Times New Roman" w:hAnsi="Arial" w:cs="Arial"/>
          <w:sz w:val="10"/>
          <w:szCs w:val="10"/>
          <w:vertAlign w:val="superscript"/>
        </w:rPr>
        <w:t>e</w:t>
      </w:r>
      <w:proofErr w:type="gramEnd"/>
      <w:r w:rsidRPr="00CA0CDB">
        <w:rPr>
          <w:rFonts w:ascii="Arial" w:eastAsia="Times New Roman" w:hAnsi="Arial" w:cs="Arial"/>
          <w:sz w:val="10"/>
          <w:szCs w:val="10"/>
        </w:rPr>
        <w:t> Incorporated by reference, see 40 CFR 60.17.</w:t>
      </w:r>
    </w:p>
    <w:p w:rsidR="00CA0CDB" w:rsidRPr="00CA0CDB" w:rsidRDefault="00CA0CDB" w:rsidP="00CA0CDB">
      <w:pPr>
        <w:spacing w:before="200" w:after="100" w:afterAutospacing="1" w:line="240" w:lineRule="auto"/>
        <w:rPr>
          <w:rFonts w:ascii="Arial" w:eastAsia="Times New Roman" w:hAnsi="Arial" w:cs="Arial"/>
          <w:sz w:val="10"/>
          <w:szCs w:val="10"/>
        </w:rPr>
      </w:pPr>
      <w:r w:rsidRPr="00CA0CDB">
        <w:rPr>
          <w:rFonts w:ascii="Arial" w:eastAsia="Times New Roman" w:hAnsi="Arial" w:cs="Arial"/>
          <w:sz w:val="10"/>
          <w:szCs w:val="10"/>
        </w:rPr>
        <w:t>[76 FR 37975, June 28, 2011, as amended at 78 FR 6698, Jan. 30, 2013]</w:t>
      </w:r>
    </w:p>
    <w:p w:rsidR="00CA0CDB" w:rsidRPr="00CA0CDB" w:rsidRDefault="00CA0CDB" w:rsidP="00CA0CDB">
      <w:pPr>
        <w:spacing w:before="200" w:after="100" w:line="240" w:lineRule="auto"/>
        <w:outlineLvl w:val="1"/>
        <w:rPr>
          <w:rFonts w:ascii="Arial" w:eastAsia="Times New Roman" w:hAnsi="Arial" w:cs="Arial"/>
          <w:b/>
          <w:bCs/>
          <w:sz w:val="10"/>
          <w:szCs w:val="10"/>
        </w:rPr>
      </w:pPr>
      <w:bookmarkStart w:id="33" w:name="40:7.0.1.1.1.98.266.20.66"/>
      <w:bookmarkEnd w:id="33"/>
      <w:r w:rsidRPr="00CA0CDB">
        <w:rPr>
          <w:rFonts w:ascii="Arial" w:eastAsia="Times New Roman" w:hAnsi="Arial" w:cs="Arial"/>
          <w:b/>
          <w:bCs/>
          <w:sz w:val="10"/>
          <w:szCs w:val="10"/>
        </w:rPr>
        <w:t>Table 3 to Subpart JJJJ of Part 60—Applicability of General Provisions to Subpart JJJJ</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[As stated in § 60.4246,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274"/>
        <w:gridCol w:w="2522"/>
        <w:gridCol w:w="878"/>
        <w:gridCol w:w="4716"/>
      </w:tblGrid>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General provisions citation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Subject of citation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Applies to subpart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Explanation</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General applicability of the General Provisions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60.2</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Definitions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Additional terms defined in § 60.4248.</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60.3</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Units and abbreviations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60.4</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Address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60.5</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Determination of construction or modification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60.6</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Review of plans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60.7</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Notification and Recordkeeping</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Except that § 60.7 only applies as specified in § 60.4245.</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60.8</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Performance tests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Except that § 60.8 only applies to owners and operators who are subject to performance testing in subpart JJJJ.</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60.9</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Availability of information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State Authority</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60.11</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Compliance with standards and maintenance requirements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Requirements are specified in subpart JJJJ.</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60.12</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Circumvention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60.13</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Monitoring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60.14</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Modification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60.15</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Reconstruction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60.16</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Priority list</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60.17</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Incorporations by reference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60.18</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General control device requirements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60.19</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General notification and reporting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bl>
    <w:p w:rsidR="0011487A" w:rsidRDefault="0011487A" w:rsidP="00CA0CDB">
      <w:pPr>
        <w:spacing w:before="200" w:after="100" w:line="240" w:lineRule="auto"/>
        <w:outlineLvl w:val="1"/>
        <w:rPr>
          <w:rFonts w:ascii="Arial" w:eastAsia="Times New Roman" w:hAnsi="Arial" w:cs="Arial"/>
          <w:b/>
          <w:bCs/>
          <w:sz w:val="10"/>
          <w:szCs w:val="10"/>
        </w:rPr>
      </w:pPr>
      <w:bookmarkStart w:id="34" w:name="40:7.0.1.1.1.98.266.20.67"/>
      <w:bookmarkEnd w:id="34"/>
    </w:p>
    <w:p w:rsidR="0011487A" w:rsidRDefault="0011487A">
      <w:pPr>
        <w:rPr>
          <w:rFonts w:ascii="Arial" w:eastAsia="Times New Roman" w:hAnsi="Arial" w:cs="Arial"/>
          <w:b/>
          <w:bCs/>
          <w:sz w:val="10"/>
          <w:szCs w:val="10"/>
        </w:rPr>
      </w:pPr>
      <w:r>
        <w:rPr>
          <w:rFonts w:ascii="Arial" w:eastAsia="Times New Roman" w:hAnsi="Arial" w:cs="Arial"/>
          <w:b/>
          <w:bCs/>
          <w:sz w:val="10"/>
          <w:szCs w:val="10"/>
        </w:rPr>
        <w:br w:type="page"/>
      </w:r>
    </w:p>
    <w:p w:rsidR="00CA0CDB" w:rsidRPr="00CA0CDB" w:rsidRDefault="00CA0CDB" w:rsidP="00CA0CDB">
      <w:pPr>
        <w:spacing w:before="200" w:after="100" w:line="240" w:lineRule="auto"/>
        <w:outlineLvl w:val="1"/>
        <w:rPr>
          <w:rFonts w:ascii="Arial" w:eastAsia="Times New Roman" w:hAnsi="Arial" w:cs="Arial"/>
          <w:b/>
          <w:bCs/>
          <w:sz w:val="10"/>
          <w:szCs w:val="10"/>
        </w:rPr>
      </w:pPr>
      <w:r w:rsidRPr="00CA0CDB">
        <w:rPr>
          <w:rFonts w:ascii="Arial" w:eastAsia="Times New Roman" w:hAnsi="Arial" w:cs="Arial"/>
          <w:b/>
          <w:bCs/>
          <w:sz w:val="10"/>
          <w:szCs w:val="10"/>
        </w:rPr>
        <w:t>Table 4 to Subpart JJJJ of Part 60—Applicability of Mobile Source Provisions for Manufacturers Participating in the Voluntary Certification Program and Certifying Stationary SI ICE to Emission Standards in Table 1 of Subpart JJJJ</w:t>
      </w:r>
    </w:p>
    <w:p w:rsidR="00CA0CDB" w:rsidRPr="00CA0CDB" w:rsidRDefault="00CA0CDB" w:rsidP="00CA0CDB">
      <w:pPr>
        <w:spacing w:before="100" w:beforeAutospacing="1" w:after="100" w:afterAutospacing="1" w:line="240" w:lineRule="auto"/>
        <w:ind w:firstLine="480"/>
        <w:rPr>
          <w:rFonts w:ascii="Arial" w:eastAsia="Times New Roman" w:hAnsi="Arial" w:cs="Arial"/>
          <w:sz w:val="10"/>
          <w:szCs w:val="10"/>
        </w:rPr>
      </w:pPr>
      <w:r w:rsidRPr="00CA0CDB">
        <w:rPr>
          <w:rFonts w:ascii="Arial" w:eastAsia="Times New Roman" w:hAnsi="Arial" w:cs="Arial"/>
          <w:sz w:val="10"/>
          <w:szCs w:val="10"/>
        </w:rPr>
        <w:t>[As stated in § 60.4247, you must comply with the following applicable mobile source provisions if you are a manufacturer participating in the voluntary certification program and certifying stationary SI ICE to emission standards in Table 1 of subpart JJJJ]</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856"/>
        <w:gridCol w:w="4521"/>
        <w:gridCol w:w="1041"/>
        <w:gridCol w:w="1972"/>
      </w:tblGrid>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Mobile source provisions citation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Subject of citation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Applies to subpart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A0CDB" w:rsidRPr="00CA0CDB" w:rsidRDefault="00CA0CDB" w:rsidP="00CA0CDB">
            <w:pPr>
              <w:spacing w:after="0" w:line="240" w:lineRule="auto"/>
              <w:rPr>
                <w:rFonts w:ascii="Arial" w:eastAsia="Times New Roman" w:hAnsi="Arial" w:cs="Arial"/>
                <w:b/>
                <w:bCs/>
                <w:sz w:val="10"/>
                <w:szCs w:val="10"/>
              </w:rPr>
            </w:pPr>
            <w:r w:rsidRPr="00CA0CDB">
              <w:rPr>
                <w:rFonts w:ascii="Arial" w:eastAsia="Times New Roman" w:hAnsi="Arial" w:cs="Arial"/>
                <w:b/>
                <w:bCs/>
                <w:sz w:val="10"/>
                <w:szCs w:val="10"/>
              </w:rPr>
              <w:t>Explanation</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 subpart A</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Overview and Applicability</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 subpart B</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Emission Standards and Related Requirements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Except for the specific sections below.</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1048.101</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Exhaust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1048.105</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Evaporative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1048.110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Diagnosing Malfunctions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1048.140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Certifying Blue Sky Series Engines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1048.145</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Interim Provisions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 subpart C</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Certifying Engine Families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Except for the specific sections below.</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1048.205(b)</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AECD reporting</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1048.205(c)</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OBD Requirements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1048.205(n)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Deterioration Factors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Except as indicated in 60.4247(c).</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1048.205(p)(1)</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Deterioration Factor Discussion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1048.205(p)(2)</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Liquid Fuels as they require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1048.240(b)(c)(d)</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Deterioration Factors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 subpart D</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Testing Production-Line Engines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 subpart 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Testing In-Use Engines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 subpart F</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Test Procedures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1065.5(a)(4)</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Raw sampling (refers reader back to the specific emissions regulation for guidance)</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 subpart G</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Compliance Provisions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 subpart H</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Reserved</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 subpart I</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Definitions and Other Reference Information</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1048 appendix I and II</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1065 (all subparts)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Engine Testing Procedures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Except for the specific section below.</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1065.715</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Test Fuel Specifications for Natural Gas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1068 (all subparts)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 xml:space="preserve">General Compliance Provisions for </w:t>
            </w:r>
            <w:proofErr w:type="spellStart"/>
            <w:r w:rsidRPr="00CA0CDB">
              <w:rPr>
                <w:rFonts w:ascii="Arial" w:eastAsia="Times New Roman" w:hAnsi="Arial" w:cs="Arial"/>
                <w:sz w:val="10"/>
                <w:szCs w:val="10"/>
              </w:rPr>
              <w:t>Nonroad</w:t>
            </w:r>
            <w:proofErr w:type="spellEnd"/>
            <w:r w:rsidRPr="00CA0CDB">
              <w:rPr>
                <w:rFonts w:ascii="Arial" w:eastAsia="Times New Roman" w:hAnsi="Arial" w:cs="Arial"/>
                <w:sz w:val="10"/>
                <w:szCs w:val="10"/>
              </w:rPr>
              <w:t xml:space="preserve"> Programs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Yes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Except for the specific sections below.</w:t>
            </w: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1068.245</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Hardship Provisions for Unusual Circumstances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1068.250</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Hardship Provisions for Small-Volume Manufacturers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r w:rsidR="00CA0CDB" w:rsidRPr="00CA0CDB" w:rsidTr="00CA0CD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1068.255</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Hardship Provisions for Equipment Manufacturers and Secondary Engine Manufacturers</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r w:rsidRPr="00CA0CDB">
              <w:rPr>
                <w:rFonts w:ascii="Arial" w:eastAsia="Times New Roman" w:hAnsi="Arial" w:cs="Arial"/>
                <w:sz w:val="10"/>
                <w:szCs w:val="10"/>
              </w:rPr>
              <w:t>No</w:t>
            </w:r>
          </w:p>
        </w:tc>
        <w:tc>
          <w:tcPr>
            <w:tcW w:w="0" w:type="auto"/>
            <w:tcBorders>
              <w:top w:val="single" w:sz="2" w:space="0" w:color="000000"/>
              <w:left w:val="single" w:sz="2" w:space="0" w:color="000000"/>
              <w:bottom w:val="single" w:sz="2" w:space="0" w:color="000000"/>
              <w:right w:val="single" w:sz="2" w:space="0" w:color="000000"/>
            </w:tcBorders>
            <w:hideMark/>
          </w:tcPr>
          <w:p w:rsidR="00CA0CDB" w:rsidRPr="00CA0CDB" w:rsidRDefault="00CA0CDB" w:rsidP="00CA0CDB">
            <w:pPr>
              <w:spacing w:after="0" w:line="240" w:lineRule="auto"/>
              <w:rPr>
                <w:rFonts w:ascii="Arial" w:eastAsia="Times New Roman" w:hAnsi="Arial" w:cs="Arial"/>
                <w:sz w:val="10"/>
                <w:szCs w:val="10"/>
              </w:rPr>
            </w:pPr>
          </w:p>
        </w:tc>
      </w:tr>
    </w:tbl>
    <w:p w:rsidR="003D634D" w:rsidRDefault="003D634D" w:rsidP="00CA0CDB"/>
    <w:sectPr w:rsidR="003D634D" w:rsidSect="003D634D">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CDB" w:rsidRDefault="00CA0CDB" w:rsidP="00CA0CDB">
      <w:pPr>
        <w:spacing w:after="0" w:line="240" w:lineRule="auto"/>
      </w:pPr>
      <w:r>
        <w:separator/>
      </w:r>
    </w:p>
  </w:endnote>
  <w:endnote w:type="continuationSeparator" w:id="0">
    <w:p w:rsidR="00CA0CDB" w:rsidRDefault="00CA0CDB" w:rsidP="00CA0C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45797"/>
      <w:docPartObj>
        <w:docPartGallery w:val="Page Numbers (Bottom of Page)"/>
        <w:docPartUnique/>
      </w:docPartObj>
    </w:sdtPr>
    <w:sdtContent>
      <w:p w:rsidR="00A968D7" w:rsidRPr="00563BF9" w:rsidRDefault="00A968D7" w:rsidP="00A968D7">
        <w:pPr>
          <w:pBdr>
            <w:top w:val="single" w:sz="8" w:space="1" w:color="auto"/>
          </w:pBdr>
          <w:tabs>
            <w:tab w:val="left" w:pos="5760"/>
          </w:tabs>
          <w:spacing w:after="0"/>
          <w:rPr>
            <w:rStyle w:val="PageNumber"/>
            <w:rFonts w:ascii="Book Antiqua" w:hAnsi="Book Antiqua"/>
            <w:sz w:val="18"/>
            <w:szCs w:val="18"/>
          </w:rPr>
        </w:pPr>
        <w:r>
          <w:rPr>
            <w:rFonts w:ascii="Book Antiqua" w:hAnsi="Book Antiqua"/>
            <w:sz w:val="18"/>
            <w:szCs w:val="18"/>
          </w:rPr>
          <w:t>Live Oak Heat &amp; Power, LLC</w:t>
        </w:r>
        <w:r w:rsidRPr="00563BF9">
          <w:rPr>
            <w:rStyle w:val="PageNumber"/>
            <w:rFonts w:ascii="Book Antiqua" w:hAnsi="Book Antiqua"/>
            <w:color w:val="FF0000"/>
            <w:sz w:val="18"/>
            <w:szCs w:val="18"/>
          </w:rPr>
          <w:tab/>
        </w:r>
        <w:r>
          <w:rPr>
            <w:rStyle w:val="PageNumber"/>
            <w:rFonts w:ascii="Book Antiqua" w:hAnsi="Book Antiqua"/>
            <w:color w:val="FF0000"/>
            <w:sz w:val="18"/>
            <w:szCs w:val="18"/>
          </w:rPr>
          <w:tab/>
          <w:t xml:space="preserve">   </w:t>
        </w:r>
        <w:r w:rsidRPr="00563BF9">
          <w:rPr>
            <w:rStyle w:val="PageNumber"/>
            <w:rFonts w:ascii="Book Antiqua" w:hAnsi="Book Antiqua"/>
            <w:sz w:val="18"/>
            <w:szCs w:val="18"/>
          </w:rPr>
          <w:t>Air Permit No. 1210472-001-AC</w:t>
        </w:r>
      </w:p>
      <w:p w:rsidR="00A968D7" w:rsidRPr="00563BF9" w:rsidRDefault="00A968D7" w:rsidP="00A968D7">
        <w:pPr>
          <w:tabs>
            <w:tab w:val="left" w:pos="5040"/>
          </w:tabs>
          <w:spacing w:after="0"/>
          <w:rPr>
            <w:rStyle w:val="PageNumber"/>
            <w:rFonts w:ascii="Book Antiqua" w:hAnsi="Book Antiqua"/>
            <w:sz w:val="18"/>
            <w:szCs w:val="18"/>
          </w:rPr>
        </w:pPr>
        <w:r>
          <w:rPr>
            <w:rStyle w:val="PageNumber"/>
            <w:rFonts w:ascii="Book Antiqua" w:hAnsi="Book Antiqua"/>
            <w:sz w:val="18"/>
            <w:szCs w:val="18"/>
          </w:rPr>
          <w:t>Live Oak Heat &amp; Power, LLC, a project developed by Blue Earth, Inc.</w:t>
        </w:r>
        <w:r w:rsidRPr="00563BF9">
          <w:rPr>
            <w:rStyle w:val="PageNumber"/>
            <w:rFonts w:ascii="Book Antiqua" w:hAnsi="Book Antiqua"/>
            <w:sz w:val="18"/>
            <w:szCs w:val="18"/>
          </w:rPr>
          <w:tab/>
        </w:r>
        <w:r w:rsidRPr="00563BF9">
          <w:rPr>
            <w:rStyle w:val="PageNumber"/>
            <w:rFonts w:ascii="Book Antiqua" w:hAnsi="Book Antiqua"/>
            <w:sz w:val="18"/>
            <w:szCs w:val="18"/>
          </w:rPr>
          <w:tab/>
        </w:r>
        <w:r>
          <w:rPr>
            <w:rStyle w:val="PageNumber"/>
            <w:rFonts w:ascii="Book Antiqua" w:hAnsi="Book Antiqua"/>
            <w:sz w:val="18"/>
            <w:szCs w:val="18"/>
          </w:rPr>
          <w:tab/>
        </w:r>
        <w:r w:rsidRPr="00563BF9">
          <w:rPr>
            <w:rStyle w:val="PageNumber"/>
            <w:rFonts w:ascii="Book Antiqua" w:hAnsi="Book Antiqua"/>
            <w:sz w:val="18"/>
            <w:szCs w:val="18"/>
          </w:rPr>
          <w:t>Air Construction Permit</w:t>
        </w:r>
      </w:p>
      <w:p w:rsidR="00A968D7" w:rsidRDefault="00A968D7">
        <w:pPr>
          <w:pStyle w:val="Footer"/>
          <w:jc w:val="center"/>
        </w:pPr>
      </w:p>
      <w:p w:rsidR="00CA0CDB" w:rsidRDefault="00253237" w:rsidP="00A968D7">
        <w:pPr>
          <w:pStyle w:val="Footer"/>
          <w:jc w:val="center"/>
        </w:pPr>
        <w:fldSimple w:instr=" PAGE   \* MERGEFORMAT ">
          <w:r w:rsidR="00A968D7">
            <w:rPr>
              <w:noProof/>
            </w:rPr>
            <w:t>14</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CDB" w:rsidRDefault="00CA0CDB" w:rsidP="00CA0CDB">
      <w:pPr>
        <w:spacing w:after="0" w:line="240" w:lineRule="auto"/>
      </w:pPr>
      <w:r>
        <w:separator/>
      </w:r>
    </w:p>
  </w:footnote>
  <w:footnote w:type="continuationSeparator" w:id="0">
    <w:p w:rsidR="00CA0CDB" w:rsidRDefault="00CA0CDB" w:rsidP="00CA0CD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20"/>
  <w:characterSpacingControl w:val="doNotCompress"/>
  <w:footnotePr>
    <w:footnote w:id="-1"/>
    <w:footnote w:id="0"/>
  </w:footnotePr>
  <w:endnotePr>
    <w:endnote w:id="-1"/>
    <w:endnote w:id="0"/>
  </w:endnotePr>
  <w:compat/>
  <w:rsids>
    <w:rsidRoot w:val="00CA0CDB"/>
    <w:rsid w:val="0011487A"/>
    <w:rsid w:val="00253237"/>
    <w:rsid w:val="003D634D"/>
    <w:rsid w:val="00A968D7"/>
    <w:rsid w:val="00CA0C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34D"/>
  </w:style>
  <w:style w:type="paragraph" w:styleId="Heading1">
    <w:name w:val="heading 1"/>
    <w:basedOn w:val="Normal"/>
    <w:link w:val="Heading1Char"/>
    <w:uiPriority w:val="9"/>
    <w:qFormat/>
    <w:rsid w:val="00CA0CDB"/>
    <w:pPr>
      <w:spacing w:before="200" w:after="100" w:line="240" w:lineRule="auto"/>
      <w:jc w:val="center"/>
      <w:outlineLvl w:val="0"/>
    </w:pPr>
    <w:rPr>
      <w:rFonts w:ascii="Times New Roman" w:eastAsia="Times New Roman" w:hAnsi="Times New Roman" w:cs="Times New Roman"/>
      <w:b/>
      <w:bCs/>
      <w:kern w:val="36"/>
      <w:sz w:val="10"/>
      <w:szCs w:val="10"/>
    </w:rPr>
  </w:style>
  <w:style w:type="paragraph" w:styleId="Heading2">
    <w:name w:val="heading 2"/>
    <w:basedOn w:val="Normal"/>
    <w:link w:val="Heading2Char"/>
    <w:uiPriority w:val="9"/>
    <w:qFormat/>
    <w:rsid w:val="00CA0CDB"/>
    <w:pPr>
      <w:spacing w:before="200" w:after="100" w:line="240" w:lineRule="auto"/>
      <w:jc w:val="center"/>
      <w:outlineLvl w:val="1"/>
    </w:pPr>
    <w:rPr>
      <w:rFonts w:ascii="Times New Roman" w:eastAsia="Times New Roman" w:hAnsi="Times New Roman" w:cs="Times New Roman"/>
      <w:b/>
      <w:bCs/>
      <w:sz w:val="10"/>
      <w:szCs w:val="10"/>
    </w:rPr>
  </w:style>
  <w:style w:type="paragraph" w:styleId="Heading3">
    <w:name w:val="heading 3"/>
    <w:basedOn w:val="Normal"/>
    <w:link w:val="Heading3Char"/>
    <w:uiPriority w:val="9"/>
    <w:qFormat/>
    <w:rsid w:val="00CA0CDB"/>
    <w:pPr>
      <w:spacing w:before="200" w:after="100" w:line="240" w:lineRule="auto"/>
      <w:jc w:val="center"/>
      <w:outlineLvl w:val="2"/>
    </w:pPr>
    <w:rPr>
      <w:rFonts w:ascii="Times New Roman" w:eastAsia="Times New Roman" w:hAnsi="Times New Roman" w:cs="Times New Roman"/>
      <w:b/>
      <w:bCs/>
      <w:sz w:val="10"/>
      <w:szCs w:val="10"/>
    </w:rPr>
  </w:style>
  <w:style w:type="paragraph" w:styleId="Heading4">
    <w:name w:val="heading 4"/>
    <w:basedOn w:val="Normal"/>
    <w:link w:val="Heading4Char"/>
    <w:uiPriority w:val="9"/>
    <w:qFormat/>
    <w:rsid w:val="00CA0CDB"/>
    <w:pPr>
      <w:spacing w:before="200" w:after="100" w:line="240" w:lineRule="auto"/>
      <w:jc w:val="center"/>
      <w:outlineLvl w:val="3"/>
    </w:pPr>
    <w:rPr>
      <w:rFonts w:ascii="Times New Roman" w:eastAsia="Times New Roman" w:hAnsi="Times New Roman" w:cs="Times New Roman"/>
      <w:b/>
      <w:bCs/>
      <w:sz w:val="10"/>
      <w:szCs w:val="10"/>
    </w:rPr>
  </w:style>
  <w:style w:type="paragraph" w:styleId="Heading5">
    <w:name w:val="heading 5"/>
    <w:basedOn w:val="Normal"/>
    <w:link w:val="Heading5Char"/>
    <w:uiPriority w:val="9"/>
    <w:qFormat/>
    <w:rsid w:val="00CA0CDB"/>
    <w:pPr>
      <w:spacing w:before="200" w:after="100" w:line="240" w:lineRule="auto"/>
      <w:jc w:val="center"/>
      <w:outlineLvl w:val="4"/>
    </w:pPr>
    <w:rPr>
      <w:rFonts w:ascii="Times New Roman" w:eastAsia="Times New Roman" w:hAnsi="Times New Roman" w:cs="Times New Roman"/>
      <w:b/>
      <w:bCs/>
      <w:sz w:val="10"/>
      <w:szCs w:val="1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0CDB"/>
    <w:rPr>
      <w:rFonts w:ascii="Times New Roman" w:eastAsia="Times New Roman" w:hAnsi="Times New Roman" w:cs="Times New Roman"/>
      <w:b/>
      <w:bCs/>
      <w:kern w:val="36"/>
      <w:sz w:val="10"/>
      <w:szCs w:val="10"/>
    </w:rPr>
  </w:style>
  <w:style w:type="character" w:customStyle="1" w:styleId="Heading2Char">
    <w:name w:val="Heading 2 Char"/>
    <w:basedOn w:val="DefaultParagraphFont"/>
    <w:link w:val="Heading2"/>
    <w:uiPriority w:val="9"/>
    <w:rsid w:val="00CA0CDB"/>
    <w:rPr>
      <w:rFonts w:ascii="Times New Roman" w:eastAsia="Times New Roman" w:hAnsi="Times New Roman" w:cs="Times New Roman"/>
      <w:b/>
      <w:bCs/>
      <w:sz w:val="10"/>
      <w:szCs w:val="10"/>
    </w:rPr>
  </w:style>
  <w:style w:type="character" w:customStyle="1" w:styleId="Heading3Char">
    <w:name w:val="Heading 3 Char"/>
    <w:basedOn w:val="DefaultParagraphFont"/>
    <w:link w:val="Heading3"/>
    <w:uiPriority w:val="9"/>
    <w:rsid w:val="00CA0CDB"/>
    <w:rPr>
      <w:rFonts w:ascii="Times New Roman" w:eastAsia="Times New Roman" w:hAnsi="Times New Roman" w:cs="Times New Roman"/>
      <w:b/>
      <w:bCs/>
      <w:sz w:val="10"/>
      <w:szCs w:val="10"/>
    </w:rPr>
  </w:style>
  <w:style w:type="character" w:customStyle="1" w:styleId="Heading4Char">
    <w:name w:val="Heading 4 Char"/>
    <w:basedOn w:val="DefaultParagraphFont"/>
    <w:link w:val="Heading4"/>
    <w:uiPriority w:val="9"/>
    <w:rsid w:val="00CA0CDB"/>
    <w:rPr>
      <w:rFonts w:ascii="Times New Roman" w:eastAsia="Times New Roman" w:hAnsi="Times New Roman" w:cs="Times New Roman"/>
      <w:b/>
      <w:bCs/>
      <w:sz w:val="10"/>
      <w:szCs w:val="10"/>
    </w:rPr>
  </w:style>
  <w:style w:type="character" w:customStyle="1" w:styleId="Heading5Char">
    <w:name w:val="Heading 5 Char"/>
    <w:basedOn w:val="DefaultParagraphFont"/>
    <w:link w:val="Heading5"/>
    <w:uiPriority w:val="9"/>
    <w:rsid w:val="00CA0CDB"/>
    <w:rPr>
      <w:rFonts w:ascii="Times New Roman" w:eastAsia="Times New Roman" w:hAnsi="Times New Roman" w:cs="Times New Roman"/>
      <w:b/>
      <w:bCs/>
      <w:sz w:val="10"/>
      <w:szCs w:val="10"/>
    </w:rPr>
  </w:style>
  <w:style w:type="character" w:styleId="Hyperlink">
    <w:name w:val="Hyperlink"/>
    <w:basedOn w:val="DefaultParagraphFont"/>
    <w:uiPriority w:val="99"/>
    <w:semiHidden/>
    <w:unhideWhenUsed/>
    <w:rsid w:val="00CA0CDB"/>
    <w:rPr>
      <w:rFonts w:ascii="Arial" w:hAnsi="Arial" w:cs="Arial" w:hint="default"/>
      <w:strike w:val="0"/>
      <w:dstrike w:val="0"/>
      <w:color w:val="0000FF"/>
      <w:sz w:val="9"/>
      <w:szCs w:val="9"/>
      <w:u w:val="none"/>
      <w:effect w:val="none"/>
    </w:rPr>
  </w:style>
  <w:style w:type="character" w:styleId="FollowedHyperlink">
    <w:name w:val="FollowedHyperlink"/>
    <w:basedOn w:val="DefaultParagraphFont"/>
    <w:uiPriority w:val="99"/>
    <w:semiHidden/>
    <w:unhideWhenUsed/>
    <w:rsid w:val="00CA0CDB"/>
    <w:rPr>
      <w:rFonts w:ascii="Arial" w:hAnsi="Arial" w:cs="Arial" w:hint="default"/>
      <w:strike w:val="0"/>
      <w:dstrike w:val="0"/>
      <w:color w:val="800080"/>
      <w:sz w:val="9"/>
      <w:szCs w:val="9"/>
      <w:u w:val="none"/>
      <w:effect w:val="none"/>
    </w:rPr>
  </w:style>
  <w:style w:type="paragraph" w:styleId="NormalWeb">
    <w:name w:val="Normal (Web)"/>
    <w:basedOn w:val="Normal"/>
    <w:uiPriority w:val="99"/>
    <w:semiHidden/>
    <w:unhideWhenUsed/>
    <w:rsid w:val="00CA0CD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CA0CD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CA0CD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CA0CD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CA0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CA0CDB"/>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CA0CDB"/>
    <w:pPr>
      <w:spacing w:before="100" w:beforeAutospacing="1" w:after="100" w:afterAutospacing="1" w:line="240" w:lineRule="auto"/>
      <w:jc w:val="center"/>
    </w:pPr>
    <w:rPr>
      <w:rFonts w:ascii="Arial" w:eastAsia="Times New Roman" w:hAnsi="Arial" w:cs="Arial"/>
      <w:b/>
      <w:bCs/>
      <w:color w:val="FF0000"/>
      <w:sz w:val="14"/>
      <w:szCs w:val="14"/>
    </w:rPr>
  </w:style>
  <w:style w:type="paragraph" w:customStyle="1" w:styleId="contact">
    <w:name w:val="contact"/>
    <w:basedOn w:val="Normal"/>
    <w:rsid w:val="00CA0CDB"/>
    <w:pPr>
      <w:spacing w:before="100" w:beforeAutospacing="1" w:after="100" w:afterAutospacing="1" w:line="240" w:lineRule="auto"/>
    </w:pPr>
    <w:rPr>
      <w:rFonts w:ascii="Times New Roman" w:eastAsia="Times New Roman" w:hAnsi="Times New Roman" w:cs="Times New Roman"/>
      <w:sz w:val="9"/>
      <w:szCs w:val="9"/>
    </w:rPr>
  </w:style>
  <w:style w:type="paragraph" w:customStyle="1" w:styleId="top-menu">
    <w:name w:val="top-menu"/>
    <w:basedOn w:val="Normal"/>
    <w:rsid w:val="00CA0CD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CA0CDB"/>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CA0CD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CA0CDB"/>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CA0CDB"/>
    <w:pPr>
      <w:spacing w:before="100" w:beforeAutospacing="1" w:after="100" w:afterAutospacing="1" w:line="240" w:lineRule="auto"/>
      <w:ind w:firstLine="480"/>
    </w:pPr>
    <w:rPr>
      <w:rFonts w:ascii="Times New Roman" w:eastAsia="Times New Roman" w:hAnsi="Times New Roman" w:cs="Times New Roman"/>
      <w:color w:val="0000FF"/>
      <w:sz w:val="11"/>
      <w:szCs w:val="11"/>
      <w:u w:val="single"/>
    </w:rPr>
  </w:style>
  <w:style w:type="paragraph" w:customStyle="1" w:styleId="menu-home-title">
    <w:name w:val="menu-home-title"/>
    <w:basedOn w:val="Normal"/>
    <w:rsid w:val="00CA0CDB"/>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CA0CDB"/>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CA0CDB"/>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CA0CDB"/>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CA0CDB"/>
    <w:pPr>
      <w:pBdr>
        <w:top w:val="single" w:sz="18"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CA0CDB"/>
    <w:pPr>
      <w:pBdr>
        <w:right w:val="single" w:sz="2" w:space="2"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CA0CDB"/>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CA0CDB"/>
    <w:pPr>
      <w:spacing w:before="100" w:beforeAutospacing="1" w:after="100" w:afterAutospacing="1" w:line="111" w:lineRule="atLeast"/>
      <w:ind w:firstLine="480"/>
    </w:pPr>
    <w:rPr>
      <w:rFonts w:ascii="Times New Roman" w:eastAsia="Times New Roman" w:hAnsi="Times New Roman" w:cs="Times New Roman"/>
      <w:b/>
      <w:bCs/>
      <w:spacing w:val="8"/>
      <w:sz w:val="9"/>
      <w:szCs w:val="9"/>
    </w:rPr>
  </w:style>
  <w:style w:type="paragraph" w:customStyle="1" w:styleId="left-menu-sublinks">
    <w:name w:val="left-menu-sublinks"/>
    <w:basedOn w:val="Normal"/>
    <w:rsid w:val="00CA0CDB"/>
    <w:pPr>
      <w:spacing w:before="100" w:beforeAutospacing="1" w:after="100" w:afterAutospacing="1" w:line="240" w:lineRule="auto"/>
      <w:ind w:left="79" w:firstLine="480"/>
    </w:pPr>
    <w:rPr>
      <w:rFonts w:ascii="Times New Roman" w:eastAsia="Times New Roman" w:hAnsi="Times New Roman" w:cs="Times New Roman"/>
      <w:sz w:val="24"/>
      <w:szCs w:val="24"/>
    </w:rPr>
  </w:style>
  <w:style w:type="paragraph" w:customStyle="1" w:styleId="sidebar-title-bar">
    <w:name w:val="sidebar-title-bar"/>
    <w:basedOn w:val="Normal"/>
    <w:rsid w:val="00CA0CDB"/>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0"/>
      <w:sz w:val="9"/>
      <w:szCs w:val="9"/>
    </w:rPr>
  </w:style>
  <w:style w:type="paragraph" w:customStyle="1" w:styleId="collection-latest-resources-mask">
    <w:name w:val="collection-latest-resources-mask"/>
    <w:basedOn w:val="Normal"/>
    <w:rsid w:val="00CA0CDB"/>
    <w:pPr>
      <w:spacing w:before="79"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CA0CD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CA0CDB"/>
    <w:pPr>
      <w:spacing w:after="0" w:line="240" w:lineRule="auto"/>
      <w:ind w:firstLine="480"/>
    </w:pPr>
    <w:rPr>
      <w:rFonts w:ascii="Times New Roman" w:eastAsia="Times New Roman" w:hAnsi="Times New Roman" w:cs="Times New Roman"/>
      <w:caps/>
      <w:sz w:val="14"/>
      <w:szCs w:val="14"/>
    </w:rPr>
  </w:style>
  <w:style w:type="paragraph" w:customStyle="1" w:styleId="hd1">
    <w:name w:val="hd1"/>
    <w:basedOn w:val="Normal"/>
    <w:rsid w:val="00CA0CDB"/>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CA0CDB"/>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CA0CD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CA0CD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CA0CDB"/>
    <w:pPr>
      <w:spacing w:before="100" w:beforeAutospacing="1" w:after="100" w:afterAutospacing="1" w:line="240" w:lineRule="auto"/>
      <w:ind w:firstLine="480"/>
      <w:jc w:val="center"/>
    </w:pPr>
    <w:rPr>
      <w:rFonts w:ascii="Times New Roman" w:eastAsia="Times New Roman" w:hAnsi="Times New Roman" w:cs="Times New Roman"/>
      <w:b/>
      <w:bCs/>
      <w:sz w:val="12"/>
      <w:szCs w:val="12"/>
    </w:rPr>
  </w:style>
  <w:style w:type="paragraph" w:customStyle="1" w:styleId="hed1">
    <w:name w:val="hed1"/>
    <w:basedOn w:val="Normal"/>
    <w:rsid w:val="00CA0CDB"/>
    <w:pPr>
      <w:spacing w:before="100" w:beforeAutospacing="1" w:after="100" w:afterAutospacing="1" w:line="240" w:lineRule="auto"/>
      <w:ind w:firstLine="480"/>
      <w:jc w:val="center"/>
    </w:pPr>
    <w:rPr>
      <w:rFonts w:ascii="Times New Roman" w:eastAsia="Times New Roman" w:hAnsi="Times New Roman" w:cs="Times New Roman"/>
      <w:b/>
      <w:bCs/>
      <w:sz w:val="10"/>
      <w:szCs w:val="10"/>
    </w:rPr>
  </w:style>
  <w:style w:type="paragraph" w:customStyle="1" w:styleId="frp">
    <w:name w:val="frp"/>
    <w:basedOn w:val="Normal"/>
    <w:rsid w:val="00CA0CDB"/>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CA0CD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CA0CDB"/>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CA0CDB"/>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CA0CDB"/>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CA0CDB"/>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CA0CDB"/>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CA0CDB"/>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CA0CDB"/>
    <w:pPr>
      <w:spacing w:before="200" w:after="100" w:afterAutospacing="1" w:line="240" w:lineRule="auto"/>
    </w:pPr>
    <w:rPr>
      <w:rFonts w:ascii="Times New Roman" w:eastAsia="Times New Roman" w:hAnsi="Times New Roman" w:cs="Times New Roman"/>
      <w:b/>
      <w:bCs/>
      <w:sz w:val="10"/>
      <w:szCs w:val="10"/>
    </w:rPr>
  </w:style>
  <w:style w:type="paragraph" w:customStyle="1" w:styleId="contentsg">
    <w:name w:val="contentsg"/>
    <w:basedOn w:val="Normal"/>
    <w:rsid w:val="00CA0CDB"/>
    <w:pPr>
      <w:spacing w:before="200" w:after="100" w:afterAutospacing="1" w:line="240" w:lineRule="auto"/>
    </w:pPr>
    <w:rPr>
      <w:rFonts w:ascii="Times New Roman" w:eastAsia="Times New Roman" w:hAnsi="Times New Roman" w:cs="Times New Roman"/>
      <w:smallCaps/>
      <w:sz w:val="10"/>
      <w:szCs w:val="10"/>
    </w:rPr>
  </w:style>
  <w:style w:type="paragraph" w:customStyle="1" w:styleId="updatetitle">
    <w:name w:val="updatetitle"/>
    <w:basedOn w:val="Normal"/>
    <w:rsid w:val="00CA0CDB"/>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CA0CD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ednote">
    <w:name w:val="ednote"/>
    <w:basedOn w:val="Normal"/>
    <w:rsid w:val="00CA0CD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effdnot">
    <w:name w:val="effdnot"/>
    <w:basedOn w:val="Normal"/>
    <w:rsid w:val="00CA0CD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example">
    <w:name w:val="example"/>
    <w:basedOn w:val="Normal"/>
    <w:rsid w:val="00CA0CD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crossref">
    <w:name w:val="crossref"/>
    <w:basedOn w:val="Normal"/>
    <w:rsid w:val="00CA0CD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note">
    <w:name w:val="note"/>
    <w:basedOn w:val="Normal"/>
    <w:rsid w:val="00CA0CD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cita">
    <w:name w:val="cita"/>
    <w:basedOn w:val="Normal"/>
    <w:rsid w:val="00CA0CDB"/>
    <w:pPr>
      <w:spacing w:before="200" w:after="100" w:afterAutospacing="1" w:line="240" w:lineRule="auto"/>
    </w:pPr>
    <w:rPr>
      <w:rFonts w:ascii="Times New Roman" w:eastAsia="Times New Roman" w:hAnsi="Times New Roman" w:cs="Times New Roman"/>
      <w:sz w:val="10"/>
      <w:szCs w:val="10"/>
    </w:rPr>
  </w:style>
  <w:style w:type="paragraph" w:customStyle="1" w:styleId="appro">
    <w:name w:val="appro"/>
    <w:basedOn w:val="Normal"/>
    <w:rsid w:val="00CA0CDB"/>
    <w:pPr>
      <w:spacing w:before="200" w:after="100" w:afterAutospacing="1" w:line="240" w:lineRule="auto"/>
    </w:pPr>
    <w:rPr>
      <w:rFonts w:ascii="Times New Roman" w:eastAsia="Times New Roman" w:hAnsi="Times New Roman" w:cs="Times New Roman"/>
      <w:sz w:val="10"/>
      <w:szCs w:val="10"/>
    </w:rPr>
  </w:style>
  <w:style w:type="paragraph" w:customStyle="1" w:styleId="auth">
    <w:name w:val="auth"/>
    <w:basedOn w:val="Normal"/>
    <w:rsid w:val="00CA0CD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parauth">
    <w:name w:val="parauth"/>
    <w:basedOn w:val="Normal"/>
    <w:rsid w:val="00CA0CDB"/>
    <w:pPr>
      <w:spacing w:before="200" w:after="100" w:afterAutospacing="1" w:line="240" w:lineRule="auto"/>
    </w:pPr>
    <w:rPr>
      <w:rFonts w:ascii="Times New Roman" w:eastAsia="Times New Roman" w:hAnsi="Times New Roman" w:cs="Times New Roman"/>
      <w:sz w:val="10"/>
      <w:szCs w:val="10"/>
    </w:rPr>
  </w:style>
  <w:style w:type="paragraph" w:customStyle="1" w:styleId="secauth">
    <w:name w:val="secauth"/>
    <w:basedOn w:val="Normal"/>
    <w:rsid w:val="00CA0CDB"/>
    <w:pPr>
      <w:spacing w:before="200" w:after="100" w:afterAutospacing="1" w:line="240" w:lineRule="auto"/>
    </w:pPr>
    <w:rPr>
      <w:rFonts w:ascii="Times New Roman" w:eastAsia="Times New Roman" w:hAnsi="Times New Roman" w:cs="Times New Roman"/>
      <w:sz w:val="10"/>
      <w:szCs w:val="10"/>
    </w:rPr>
  </w:style>
  <w:style w:type="paragraph" w:customStyle="1" w:styleId="title">
    <w:name w:val="title"/>
    <w:basedOn w:val="Normal"/>
    <w:rsid w:val="00CA0CDB"/>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CA0CDB"/>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CA0CDB"/>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CA0CDB"/>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CA0CDB"/>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CA0CDB"/>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CA0CDB"/>
    <w:pPr>
      <w:spacing w:before="200" w:after="100" w:line="240" w:lineRule="auto"/>
      <w:ind w:firstLine="480"/>
      <w:jc w:val="center"/>
    </w:pPr>
    <w:rPr>
      <w:rFonts w:ascii="Times New Roman" w:eastAsia="Times New Roman" w:hAnsi="Times New Roman" w:cs="Times New Roman"/>
      <w:smallCaps/>
      <w:sz w:val="10"/>
      <w:szCs w:val="10"/>
    </w:rPr>
  </w:style>
  <w:style w:type="paragraph" w:customStyle="1" w:styleId="sphead">
    <w:name w:val="sphead"/>
    <w:basedOn w:val="Normal"/>
    <w:rsid w:val="00CA0CDB"/>
    <w:pPr>
      <w:spacing w:before="200" w:after="100" w:line="240" w:lineRule="auto"/>
    </w:pPr>
    <w:rPr>
      <w:rFonts w:ascii="Times New Roman" w:eastAsia="Times New Roman" w:hAnsi="Times New Roman" w:cs="Times New Roman"/>
      <w:b/>
      <w:bCs/>
      <w:sz w:val="14"/>
      <w:szCs w:val="14"/>
    </w:rPr>
  </w:style>
  <w:style w:type="paragraph" w:customStyle="1" w:styleId="sghead">
    <w:name w:val="sghead"/>
    <w:basedOn w:val="Normal"/>
    <w:rsid w:val="00CA0CDB"/>
    <w:pPr>
      <w:spacing w:before="200" w:after="100" w:line="240" w:lineRule="auto"/>
      <w:jc w:val="center"/>
    </w:pPr>
    <w:rPr>
      <w:rFonts w:ascii="Times New Roman" w:eastAsia="Times New Roman" w:hAnsi="Times New Roman" w:cs="Times New Roman"/>
      <w:smallCaps/>
      <w:sz w:val="10"/>
      <w:szCs w:val="10"/>
    </w:rPr>
  </w:style>
  <w:style w:type="paragraph" w:customStyle="1" w:styleId="stars">
    <w:name w:val="stars"/>
    <w:basedOn w:val="Normal"/>
    <w:rsid w:val="00CA0CD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CA0CD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CA0CD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CA0CDB"/>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CA0CDB"/>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CA0CDB"/>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CA0CDB"/>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CA0CDB"/>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CA0CDB"/>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CA0CDB"/>
    <w:pPr>
      <w:pBdr>
        <w:left w:val="single" w:sz="2"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CA0CDB"/>
    <w:pPr>
      <w:pBdr>
        <w:left w:val="single" w:sz="2"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CA0CDB"/>
    <w:pPr>
      <w:spacing w:before="100" w:beforeAutospacing="1" w:after="100" w:afterAutospacing="1" w:line="240" w:lineRule="auto"/>
      <w:ind w:firstLine="480"/>
    </w:pPr>
    <w:rPr>
      <w:rFonts w:ascii="Times New Roman" w:eastAsia="Times New Roman" w:hAnsi="Times New Roman" w:cs="Times New Roman"/>
      <w:sz w:val="10"/>
      <w:szCs w:val="10"/>
    </w:rPr>
  </w:style>
  <w:style w:type="paragraph" w:customStyle="1" w:styleId="ftnt">
    <w:name w:val="ftnt"/>
    <w:basedOn w:val="Normal"/>
    <w:rsid w:val="00CA0CDB"/>
    <w:pPr>
      <w:spacing w:before="100" w:beforeAutospacing="1" w:after="100" w:afterAutospacing="1" w:line="240" w:lineRule="auto"/>
      <w:ind w:firstLine="480"/>
    </w:pPr>
    <w:rPr>
      <w:rFonts w:ascii="Times New Roman" w:eastAsia="Times New Roman" w:hAnsi="Times New Roman" w:cs="Times New Roman"/>
      <w:sz w:val="10"/>
      <w:szCs w:val="10"/>
    </w:rPr>
  </w:style>
  <w:style w:type="paragraph" w:customStyle="1" w:styleId="tpl">
    <w:name w:val="tpl"/>
    <w:basedOn w:val="Normal"/>
    <w:rsid w:val="00CA0CDB"/>
    <w:pPr>
      <w:spacing w:before="100" w:beforeAutospacing="1" w:after="100" w:afterAutospacing="1" w:line="240" w:lineRule="auto"/>
      <w:ind w:firstLine="480"/>
    </w:pPr>
    <w:rPr>
      <w:rFonts w:ascii="Times New Roman" w:eastAsia="Times New Roman" w:hAnsi="Times New Roman" w:cs="Times New Roman"/>
      <w:sz w:val="10"/>
      <w:szCs w:val="10"/>
    </w:rPr>
  </w:style>
  <w:style w:type="paragraph" w:customStyle="1" w:styleId="sechd">
    <w:name w:val="sechd"/>
    <w:basedOn w:val="Normal"/>
    <w:rsid w:val="00CA0CDB"/>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CA0CDB"/>
    <w:pPr>
      <w:spacing w:after="100" w:afterAutospacing="1" w:line="240" w:lineRule="auto"/>
    </w:pPr>
    <w:rPr>
      <w:rFonts w:ascii="Times New Roman" w:eastAsia="Times New Roman" w:hAnsi="Times New Roman" w:cs="Times New Roman"/>
      <w:sz w:val="24"/>
      <w:szCs w:val="24"/>
    </w:rPr>
  </w:style>
  <w:style w:type="paragraph" w:customStyle="1" w:styleId="gpotblhang">
    <w:name w:val="gpotbl_hang"/>
    <w:basedOn w:val="Normal"/>
    <w:rsid w:val="00CA0CDB"/>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CA0CD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CA0CD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CA0CDB"/>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CA0CD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CA0CDB"/>
    <w:p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CA0CDB"/>
    <w:p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CA0CDB"/>
    <w:rPr>
      <w:shd w:val="clear" w:color="auto" w:fill="FFFFFF"/>
    </w:rPr>
  </w:style>
  <w:style w:type="character" w:customStyle="1" w:styleId="pdash">
    <w:name w:val="pdash"/>
    <w:basedOn w:val="DefaultParagraphFont"/>
    <w:rsid w:val="00CA0CDB"/>
    <w:rPr>
      <w:shd w:val="clear" w:color="auto" w:fill="FFFFFF"/>
    </w:rPr>
  </w:style>
  <w:style w:type="paragraph" w:customStyle="1" w:styleId="gpotblnote">
    <w:name w:val="gpotbl_note"/>
    <w:basedOn w:val="Normal"/>
    <w:rsid w:val="00CA0CDB"/>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CA0CDB"/>
    <w:rPr>
      <w:i/>
      <w:iCs/>
    </w:rPr>
  </w:style>
  <w:style w:type="paragraph" w:styleId="BalloonText">
    <w:name w:val="Balloon Text"/>
    <w:basedOn w:val="Normal"/>
    <w:link w:val="BalloonTextChar"/>
    <w:uiPriority w:val="99"/>
    <w:semiHidden/>
    <w:unhideWhenUsed/>
    <w:rsid w:val="00CA0C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0CDB"/>
    <w:rPr>
      <w:rFonts w:ascii="Tahoma" w:hAnsi="Tahoma" w:cs="Tahoma"/>
      <w:sz w:val="16"/>
      <w:szCs w:val="16"/>
    </w:rPr>
  </w:style>
  <w:style w:type="paragraph" w:styleId="Header">
    <w:name w:val="header"/>
    <w:basedOn w:val="Normal"/>
    <w:link w:val="HeaderChar"/>
    <w:uiPriority w:val="99"/>
    <w:semiHidden/>
    <w:unhideWhenUsed/>
    <w:rsid w:val="00CA0CD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A0CDB"/>
  </w:style>
  <w:style w:type="paragraph" w:styleId="Footer">
    <w:name w:val="footer"/>
    <w:basedOn w:val="Normal"/>
    <w:link w:val="FooterChar"/>
    <w:uiPriority w:val="99"/>
    <w:unhideWhenUsed/>
    <w:rsid w:val="00CA0C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CDB"/>
  </w:style>
  <w:style w:type="character" w:styleId="PageNumber">
    <w:name w:val="page number"/>
    <w:basedOn w:val="DefaultParagraphFont"/>
    <w:rsid w:val="00A968D7"/>
  </w:style>
</w:styles>
</file>

<file path=word/webSettings.xml><?xml version="1.0" encoding="utf-8"?>
<w:webSettings xmlns:r="http://schemas.openxmlformats.org/officeDocument/2006/relationships" xmlns:w="http://schemas.openxmlformats.org/wordprocessingml/2006/main">
  <w:divs>
    <w:div w:id="2130661286">
      <w:bodyDiv w:val="1"/>
      <w:marLeft w:val="0"/>
      <w:marRight w:val="0"/>
      <w:marTop w:val="16"/>
      <w:marBottom w:val="396"/>
      <w:divBdr>
        <w:top w:val="none" w:sz="0" w:space="0" w:color="auto"/>
        <w:left w:val="none" w:sz="0" w:space="0" w:color="auto"/>
        <w:bottom w:val="none" w:sz="0" w:space="0" w:color="auto"/>
        <w:right w:val="none" w:sz="0" w:space="0" w:color="auto"/>
      </w:divBdr>
      <w:divsChild>
        <w:div w:id="1598244375">
          <w:marLeft w:val="0"/>
          <w:marRight w:val="0"/>
          <w:marTop w:val="0"/>
          <w:marBottom w:val="0"/>
          <w:divBdr>
            <w:top w:val="none" w:sz="0" w:space="0" w:color="auto"/>
            <w:left w:val="none" w:sz="0" w:space="0" w:color="auto"/>
            <w:bottom w:val="none" w:sz="0" w:space="0" w:color="auto"/>
            <w:right w:val="none" w:sz="0" w:space="0" w:color="auto"/>
          </w:divBdr>
          <w:divsChild>
            <w:div w:id="32655558">
              <w:marLeft w:val="0"/>
              <w:marRight w:val="0"/>
              <w:marTop w:val="0"/>
              <w:marBottom w:val="0"/>
              <w:divBdr>
                <w:top w:val="none" w:sz="0" w:space="0" w:color="auto"/>
                <w:left w:val="none" w:sz="0" w:space="0" w:color="auto"/>
                <w:bottom w:val="none" w:sz="0" w:space="0" w:color="auto"/>
                <w:right w:val="none" w:sz="0" w:space="0" w:color="auto"/>
              </w:divBdr>
            </w:div>
            <w:div w:id="1682388620">
              <w:marLeft w:val="0"/>
              <w:marRight w:val="0"/>
              <w:marTop w:val="0"/>
              <w:marBottom w:val="0"/>
              <w:divBdr>
                <w:top w:val="none" w:sz="0" w:space="0" w:color="auto"/>
                <w:left w:val="none" w:sz="0" w:space="0" w:color="auto"/>
                <w:bottom w:val="none" w:sz="0" w:space="0" w:color="auto"/>
                <w:right w:val="none" w:sz="0" w:space="0" w:color="auto"/>
              </w:divBdr>
            </w:div>
            <w:div w:id="757334575">
              <w:marLeft w:val="0"/>
              <w:marRight w:val="0"/>
              <w:marTop w:val="0"/>
              <w:marBottom w:val="0"/>
              <w:divBdr>
                <w:top w:val="none" w:sz="0" w:space="0" w:color="auto"/>
                <w:left w:val="none" w:sz="0" w:space="0" w:color="auto"/>
                <w:bottom w:val="none" w:sz="0" w:space="0" w:color="auto"/>
                <w:right w:val="none" w:sz="0" w:space="0" w:color="auto"/>
              </w:divBdr>
            </w:div>
            <w:div w:id="1156188995">
              <w:marLeft w:val="0"/>
              <w:marRight w:val="0"/>
              <w:marTop w:val="0"/>
              <w:marBottom w:val="0"/>
              <w:divBdr>
                <w:top w:val="none" w:sz="0" w:space="0" w:color="auto"/>
                <w:left w:val="none" w:sz="0" w:space="0" w:color="auto"/>
                <w:bottom w:val="none" w:sz="0" w:space="0" w:color="auto"/>
                <w:right w:val="none" w:sz="0" w:space="0" w:color="auto"/>
              </w:divBdr>
            </w:div>
            <w:div w:id="1310861707">
              <w:marLeft w:val="0"/>
              <w:marRight w:val="0"/>
              <w:marTop w:val="0"/>
              <w:marBottom w:val="0"/>
              <w:divBdr>
                <w:top w:val="none" w:sz="0" w:space="0" w:color="auto"/>
                <w:left w:val="none" w:sz="0" w:space="0" w:color="auto"/>
                <w:bottom w:val="none" w:sz="0" w:space="0" w:color="auto"/>
                <w:right w:val="none" w:sz="0" w:space="0" w:color="auto"/>
              </w:divBdr>
              <w:divsChild>
                <w:div w:id="660423106">
                  <w:marLeft w:val="0"/>
                  <w:marRight w:val="0"/>
                  <w:marTop w:val="0"/>
                  <w:marBottom w:val="0"/>
                  <w:divBdr>
                    <w:top w:val="single" w:sz="6" w:space="0" w:color="000000"/>
                    <w:left w:val="single" w:sz="6" w:space="0" w:color="000000"/>
                    <w:bottom w:val="single" w:sz="6" w:space="0" w:color="000000"/>
                    <w:right w:val="single" w:sz="6" w:space="0" w:color="000000"/>
                  </w:divBdr>
                </w:div>
              </w:divsChild>
            </w:div>
            <w:div w:id="1626352002">
              <w:marLeft w:val="0"/>
              <w:marRight w:val="0"/>
              <w:marTop w:val="0"/>
              <w:marBottom w:val="0"/>
              <w:divBdr>
                <w:top w:val="none" w:sz="0" w:space="0" w:color="auto"/>
                <w:left w:val="none" w:sz="0" w:space="0" w:color="auto"/>
                <w:bottom w:val="none" w:sz="0" w:space="0" w:color="auto"/>
                <w:right w:val="none" w:sz="0" w:space="0" w:color="auto"/>
              </w:divBdr>
            </w:div>
            <w:div w:id="93942572">
              <w:marLeft w:val="0"/>
              <w:marRight w:val="0"/>
              <w:marTop w:val="0"/>
              <w:marBottom w:val="0"/>
              <w:divBdr>
                <w:top w:val="none" w:sz="0" w:space="0" w:color="auto"/>
                <w:left w:val="none" w:sz="0" w:space="0" w:color="auto"/>
                <w:bottom w:val="none" w:sz="0" w:space="0" w:color="auto"/>
                <w:right w:val="none" w:sz="0" w:space="0" w:color="auto"/>
              </w:divBdr>
            </w:div>
            <w:div w:id="2133741761">
              <w:marLeft w:val="0"/>
              <w:marRight w:val="0"/>
              <w:marTop w:val="0"/>
              <w:marBottom w:val="0"/>
              <w:divBdr>
                <w:top w:val="none" w:sz="0" w:space="0" w:color="auto"/>
                <w:left w:val="none" w:sz="0" w:space="0" w:color="auto"/>
                <w:bottom w:val="none" w:sz="0" w:space="0" w:color="auto"/>
                <w:right w:val="none" w:sz="0" w:space="0" w:color="auto"/>
              </w:divBdr>
            </w:div>
            <w:div w:id="329454055">
              <w:marLeft w:val="0"/>
              <w:marRight w:val="0"/>
              <w:marTop w:val="0"/>
              <w:marBottom w:val="0"/>
              <w:divBdr>
                <w:top w:val="none" w:sz="0" w:space="0" w:color="auto"/>
                <w:left w:val="none" w:sz="0" w:space="0" w:color="auto"/>
                <w:bottom w:val="none" w:sz="0" w:space="0" w:color="auto"/>
                <w:right w:val="none" w:sz="0" w:space="0" w:color="auto"/>
              </w:divBdr>
            </w:div>
            <w:div w:id="1793281108">
              <w:marLeft w:val="0"/>
              <w:marRight w:val="0"/>
              <w:marTop w:val="0"/>
              <w:marBottom w:val="0"/>
              <w:divBdr>
                <w:top w:val="none" w:sz="0" w:space="0" w:color="auto"/>
                <w:left w:val="none" w:sz="0" w:space="0" w:color="auto"/>
                <w:bottom w:val="none" w:sz="0" w:space="0" w:color="auto"/>
                <w:right w:val="none" w:sz="0" w:space="0" w:color="auto"/>
              </w:divBdr>
            </w:div>
            <w:div w:id="1242519749">
              <w:marLeft w:val="0"/>
              <w:marRight w:val="0"/>
              <w:marTop w:val="0"/>
              <w:marBottom w:val="0"/>
              <w:divBdr>
                <w:top w:val="none" w:sz="0" w:space="0" w:color="auto"/>
                <w:left w:val="none" w:sz="0" w:space="0" w:color="auto"/>
                <w:bottom w:val="none" w:sz="0" w:space="0" w:color="auto"/>
                <w:right w:val="none" w:sz="0" w:space="0" w:color="auto"/>
              </w:divBdr>
            </w:div>
            <w:div w:id="596253630">
              <w:marLeft w:val="0"/>
              <w:marRight w:val="0"/>
              <w:marTop w:val="0"/>
              <w:marBottom w:val="0"/>
              <w:divBdr>
                <w:top w:val="none" w:sz="0" w:space="0" w:color="auto"/>
                <w:left w:val="none" w:sz="0" w:space="0" w:color="auto"/>
                <w:bottom w:val="none" w:sz="0" w:space="0" w:color="auto"/>
                <w:right w:val="none" w:sz="0" w:space="0" w:color="auto"/>
              </w:divBdr>
            </w:div>
            <w:div w:id="1173110677">
              <w:marLeft w:val="0"/>
              <w:marRight w:val="0"/>
              <w:marTop w:val="0"/>
              <w:marBottom w:val="0"/>
              <w:divBdr>
                <w:top w:val="none" w:sz="0" w:space="0" w:color="auto"/>
                <w:left w:val="none" w:sz="0" w:space="0" w:color="auto"/>
                <w:bottom w:val="none" w:sz="0" w:space="0" w:color="auto"/>
                <w:right w:val="none" w:sz="0" w:space="0" w:color="auto"/>
              </w:divBdr>
            </w:div>
            <w:div w:id="1247181440">
              <w:marLeft w:val="0"/>
              <w:marRight w:val="0"/>
              <w:marTop w:val="0"/>
              <w:marBottom w:val="0"/>
              <w:divBdr>
                <w:top w:val="none" w:sz="0" w:space="0" w:color="auto"/>
                <w:left w:val="none" w:sz="0" w:space="0" w:color="auto"/>
                <w:bottom w:val="none" w:sz="0" w:space="0" w:color="auto"/>
                <w:right w:val="none" w:sz="0" w:space="0" w:color="auto"/>
              </w:divBdr>
            </w:div>
            <w:div w:id="772630611">
              <w:marLeft w:val="0"/>
              <w:marRight w:val="0"/>
              <w:marTop w:val="0"/>
              <w:marBottom w:val="0"/>
              <w:divBdr>
                <w:top w:val="none" w:sz="0" w:space="0" w:color="auto"/>
                <w:left w:val="none" w:sz="0" w:space="0" w:color="auto"/>
                <w:bottom w:val="none" w:sz="0" w:space="0" w:color="auto"/>
                <w:right w:val="none" w:sz="0" w:space="0" w:color="auto"/>
              </w:divBdr>
            </w:div>
            <w:div w:id="1817264445">
              <w:marLeft w:val="0"/>
              <w:marRight w:val="0"/>
              <w:marTop w:val="0"/>
              <w:marBottom w:val="0"/>
              <w:divBdr>
                <w:top w:val="none" w:sz="0" w:space="0" w:color="auto"/>
                <w:left w:val="none" w:sz="0" w:space="0" w:color="auto"/>
                <w:bottom w:val="none" w:sz="0" w:space="0" w:color="auto"/>
                <w:right w:val="none" w:sz="0" w:space="0" w:color="auto"/>
              </w:divBdr>
            </w:div>
            <w:div w:id="1630894235">
              <w:marLeft w:val="0"/>
              <w:marRight w:val="0"/>
              <w:marTop w:val="0"/>
              <w:marBottom w:val="0"/>
              <w:divBdr>
                <w:top w:val="none" w:sz="0" w:space="0" w:color="auto"/>
                <w:left w:val="none" w:sz="0" w:space="0" w:color="auto"/>
                <w:bottom w:val="none" w:sz="0" w:space="0" w:color="auto"/>
                <w:right w:val="none" w:sz="0" w:space="0" w:color="auto"/>
              </w:divBdr>
            </w:div>
            <w:div w:id="129176809">
              <w:marLeft w:val="0"/>
              <w:marRight w:val="0"/>
              <w:marTop w:val="0"/>
              <w:marBottom w:val="0"/>
              <w:divBdr>
                <w:top w:val="none" w:sz="0" w:space="0" w:color="auto"/>
                <w:left w:val="none" w:sz="0" w:space="0" w:color="auto"/>
                <w:bottom w:val="none" w:sz="0" w:space="0" w:color="auto"/>
                <w:right w:val="none" w:sz="0" w:space="0" w:color="auto"/>
              </w:divBdr>
            </w:div>
            <w:div w:id="898246909">
              <w:marLeft w:val="0"/>
              <w:marRight w:val="0"/>
              <w:marTop w:val="0"/>
              <w:marBottom w:val="0"/>
              <w:divBdr>
                <w:top w:val="none" w:sz="0" w:space="0" w:color="auto"/>
                <w:left w:val="none" w:sz="0" w:space="0" w:color="auto"/>
                <w:bottom w:val="none" w:sz="0" w:space="0" w:color="auto"/>
                <w:right w:val="none" w:sz="0" w:space="0" w:color="auto"/>
              </w:divBdr>
            </w:div>
            <w:div w:id="209608683">
              <w:marLeft w:val="0"/>
              <w:marRight w:val="0"/>
              <w:marTop w:val="0"/>
              <w:marBottom w:val="0"/>
              <w:divBdr>
                <w:top w:val="none" w:sz="0" w:space="0" w:color="auto"/>
                <w:left w:val="none" w:sz="0" w:space="0" w:color="auto"/>
                <w:bottom w:val="none" w:sz="0" w:space="0" w:color="auto"/>
                <w:right w:val="none" w:sz="0" w:space="0" w:color="auto"/>
              </w:divBdr>
            </w:div>
            <w:div w:id="1296792161">
              <w:marLeft w:val="0"/>
              <w:marRight w:val="0"/>
              <w:marTop w:val="0"/>
              <w:marBottom w:val="0"/>
              <w:divBdr>
                <w:top w:val="none" w:sz="0" w:space="0" w:color="auto"/>
                <w:left w:val="none" w:sz="0" w:space="0" w:color="auto"/>
                <w:bottom w:val="none" w:sz="0" w:space="0" w:color="auto"/>
                <w:right w:val="none" w:sz="0" w:space="0" w:color="auto"/>
              </w:divBdr>
            </w:div>
            <w:div w:id="278413594">
              <w:marLeft w:val="0"/>
              <w:marRight w:val="0"/>
              <w:marTop w:val="0"/>
              <w:marBottom w:val="0"/>
              <w:divBdr>
                <w:top w:val="none" w:sz="0" w:space="0" w:color="auto"/>
                <w:left w:val="none" w:sz="0" w:space="0" w:color="auto"/>
                <w:bottom w:val="none" w:sz="0" w:space="0" w:color="auto"/>
                <w:right w:val="none" w:sz="0" w:space="0" w:color="auto"/>
              </w:divBdr>
            </w:div>
            <w:div w:id="474302188">
              <w:marLeft w:val="0"/>
              <w:marRight w:val="0"/>
              <w:marTop w:val="0"/>
              <w:marBottom w:val="0"/>
              <w:divBdr>
                <w:top w:val="none" w:sz="0" w:space="0" w:color="auto"/>
                <w:left w:val="none" w:sz="0" w:space="0" w:color="auto"/>
                <w:bottom w:val="none" w:sz="0" w:space="0" w:color="auto"/>
                <w:right w:val="none" w:sz="0" w:space="0" w:color="auto"/>
              </w:divBdr>
            </w:div>
            <w:div w:id="1959019547">
              <w:marLeft w:val="0"/>
              <w:marRight w:val="0"/>
              <w:marTop w:val="0"/>
              <w:marBottom w:val="0"/>
              <w:divBdr>
                <w:top w:val="none" w:sz="0" w:space="0" w:color="auto"/>
                <w:left w:val="none" w:sz="0" w:space="0" w:color="auto"/>
                <w:bottom w:val="none" w:sz="0" w:space="0" w:color="auto"/>
                <w:right w:val="none" w:sz="0" w:space="0" w:color="auto"/>
              </w:divBdr>
            </w:div>
            <w:div w:id="1490635288">
              <w:marLeft w:val="0"/>
              <w:marRight w:val="0"/>
              <w:marTop w:val="0"/>
              <w:marBottom w:val="0"/>
              <w:divBdr>
                <w:top w:val="none" w:sz="0" w:space="0" w:color="auto"/>
                <w:left w:val="none" w:sz="0" w:space="0" w:color="auto"/>
                <w:bottom w:val="none" w:sz="0" w:space="0" w:color="auto"/>
                <w:right w:val="none" w:sz="0" w:space="0" w:color="auto"/>
              </w:divBdr>
            </w:div>
            <w:div w:id="520555586">
              <w:marLeft w:val="0"/>
              <w:marRight w:val="0"/>
              <w:marTop w:val="0"/>
              <w:marBottom w:val="0"/>
              <w:divBdr>
                <w:top w:val="none" w:sz="0" w:space="0" w:color="auto"/>
                <w:left w:val="none" w:sz="0" w:space="0" w:color="auto"/>
                <w:bottom w:val="none" w:sz="0" w:space="0" w:color="auto"/>
                <w:right w:val="none" w:sz="0" w:space="0" w:color="auto"/>
              </w:divBdr>
            </w:div>
            <w:div w:id="1037699343">
              <w:marLeft w:val="0"/>
              <w:marRight w:val="0"/>
              <w:marTop w:val="0"/>
              <w:marBottom w:val="0"/>
              <w:divBdr>
                <w:top w:val="none" w:sz="0" w:space="0" w:color="auto"/>
                <w:left w:val="none" w:sz="0" w:space="0" w:color="auto"/>
                <w:bottom w:val="none" w:sz="0" w:space="0" w:color="auto"/>
                <w:right w:val="none" w:sz="0" w:space="0" w:color="auto"/>
              </w:divBdr>
            </w:div>
            <w:div w:id="149175393">
              <w:marLeft w:val="0"/>
              <w:marRight w:val="0"/>
              <w:marTop w:val="0"/>
              <w:marBottom w:val="0"/>
              <w:divBdr>
                <w:top w:val="none" w:sz="0" w:space="0" w:color="auto"/>
                <w:left w:val="none" w:sz="0" w:space="0" w:color="auto"/>
                <w:bottom w:val="none" w:sz="0" w:space="0" w:color="auto"/>
                <w:right w:val="none" w:sz="0" w:space="0" w:color="auto"/>
              </w:divBdr>
            </w:div>
            <w:div w:id="2058503391">
              <w:marLeft w:val="0"/>
              <w:marRight w:val="0"/>
              <w:marTop w:val="0"/>
              <w:marBottom w:val="0"/>
              <w:divBdr>
                <w:top w:val="none" w:sz="0" w:space="0" w:color="auto"/>
                <w:left w:val="none" w:sz="0" w:space="0" w:color="auto"/>
                <w:bottom w:val="none" w:sz="0" w:space="0" w:color="auto"/>
                <w:right w:val="none" w:sz="0" w:space="0" w:color="auto"/>
              </w:divBdr>
            </w:div>
            <w:div w:id="729351718">
              <w:marLeft w:val="0"/>
              <w:marRight w:val="0"/>
              <w:marTop w:val="0"/>
              <w:marBottom w:val="0"/>
              <w:divBdr>
                <w:top w:val="none" w:sz="0" w:space="0" w:color="auto"/>
                <w:left w:val="none" w:sz="0" w:space="0" w:color="auto"/>
                <w:bottom w:val="none" w:sz="0" w:space="0" w:color="auto"/>
                <w:right w:val="none" w:sz="0" w:space="0" w:color="auto"/>
              </w:divBdr>
            </w:div>
            <w:div w:id="1938513416">
              <w:marLeft w:val="0"/>
              <w:marRight w:val="0"/>
              <w:marTop w:val="0"/>
              <w:marBottom w:val="0"/>
              <w:divBdr>
                <w:top w:val="none" w:sz="0" w:space="0" w:color="auto"/>
                <w:left w:val="none" w:sz="0" w:space="0" w:color="auto"/>
                <w:bottom w:val="none" w:sz="0" w:space="0" w:color="auto"/>
                <w:right w:val="none" w:sz="0" w:space="0" w:color="auto"/>
              </w:divBdr>
            </w:div>
            <w:div w:id="2041667084">
              <w:marLeft w:val="0"/>
              <w:marRight w:val="0"/>
              <w:marTop w:val="0"/>
              <w:marBottom w:val="0"/>
              <w:divBdr>
                <w:top w:val="none" w:sz="0" w:space="0" w:color="auto"/>
                <w:left w:val="none" w:sz="0" w:space="0" w:color="auto"/>
                <w:bottom w:val="none" w:sz="0" w:space="0" w:color="auto"/>
                <w:right w:val="none" w:sz="0" w:space="0" w:color="auto"/>
              </w:divBdr>
            </w:div>
            <w:div w:id="627862234">
              <w:marLeft w:val="0"/>
              <w:marRight w:val="0"/>
              <w:marTop w:val="0"/>
              <w:marBottom w:val="0"/>
              <w:divBdr>
                <w:top w:val="none" w:sz="0" w:space="0" w:color="auto"/>
                <w:left w:val="none" w:sz="0" w:space="0" w:color="auto"/>
                <w:bottom w:val="none" w:sz="0" w:space="0" w:color="auto"/>
                <w:right w:val="none" w:sz="0" w:space="0" w:color="auto"/>
              </w:divBdr>
            </w:div>
            <w:div w:id="1391996476">
              <w:marLeft w:val="0"/>
              <w:marRight w:val="0"/>
              <w:marTop w:val="0"/>
              <w:marBottom w:val="0"/>
              <w:divBdr>
                <w:top w:val="none" w:sz="0" w:space="0" w:color="auto"/>
                <w:left w:val="none" w:sz="0" w:space="0" w:color="auto"/>
                <w:bottom w:val="none" w:sz="0" w:space="0" w:color="auto"/>
                <w:right w:val="none" w:sz="0" w:space="0" w:color="auto"/>
              </w:divBdr>
            </w:div>
            <w:div w:id="1070077717">
              <w:marLeft w:val="0"/>
              <w:marRight w:val="0"/>
              <w:marTop w:val="0"/>
              <w:marBottom w:val="0"/>
              <w:divBdr>
                <w:top w:val="none" w:sz="0" w:space="0" w:color="auto"/>
                <w:left w:val="none" w:sz="0" w:space="0" w:color="auto"/>
                <w:bottom w:val="none" w:sz="0" w:space="0" w:color="auto"/>
                <w:right w:val="none" w:sz="0" w:space="0" w:color="auto"/>
              </w:divBdr>
            </w:div>
            <w:div w:id="268242581">
              <w:marLeft w:val="0"/>
              <w:marRight w:val="0"/>
              <w:marTop w:val="0"/>
              <w:marBottom w:val="0"/>
              <w:divBdr>
                <w:top w:val="none" w:sz="0" w:space="0" w:color="auto"/>
                <w:left w:val="none" w:sz="0" w:space="0" w:color="auto"/>
                <w:bottom w:val="none" w:sz="0" w:space="0" w:color="auto"/>
                <w:right w:val="none" w:sz="0" w:space="0" w:color="auto"/>
              </w:divBdr>
            </w:div>
            <w:div w:id="1992440922">
              <w:marLeft w:val="0"/>
              <w:marRight w:val="0"/>
              <w:marTop w:val="0"/>
              <w:marBottom w:val="0"/>
              <w:divBdr>
                <w:top w:val="none" w:sz="0" w:space="0" w:color="auto"/>
                <w:left w:val="none" w:sz="0" w:space="0" w:color="auto"/>
                <w:bottom w:val="none" w:sz="0" w:space="0" w:color="auto"/>
                <w:right w:val="none" w:sz="0" w:space="0" w:color="auto"/>
              </w:divBdr>
            </w:div>
            <w:div w:id="1458448611">
              <w:marLeft w:val="0"/>
              <w:marRight w:val="0"/>
              <w:marTop w:val="0"/>
              <w:marBottom w:val="0"/>
              <w:divBdr>
                <w:top w:val="none" w:sz="0" w:space="0" w:color="auto"/>
                <w:left w:val="none" w:sz="0" w:space="0" w:color="auto"/>
                <w:bottom w:val="none" w:sz="0" w:space="0" w:color="auto"/>
                <w:right w:val="none" w:sz="0" w:space="0" w:color="auto"/>
              </w:divBdr>
            </w:div>
            <w:div w:id="262498540">
              <w:marLeft w:val="0"/>
              <w:marRight w:val="0"/>
              <w:marTop w:val="0"/>
              <w:marBottom w:val="0"/>
              <w:divBdr>
                <w:top w:val="none" w:sz="0" w:space="0" w:color="auto"/>
                <w:left w:val="none" w:sz="0" w:space="0" w:color="auto"/>
                <w:bottom w:val="none" w:sz="0" w:space="0" w:color="auto"/>
                <w:right w:val="none" w:sz="0" w:space="0" w:color="auto"/>
              </w:divBdr>
              <w:divsChild>
                <w:div w:id="290981845">
                  <w:marLeft w:val="0"/>
                  <w:marRight w:val="0"/>
                  <w:marTop w:val="0"/>
                  <w:marBottom w:val="0"/>
                  <w:divBdr>
                    <w:top w:val="single" w:sz="6" w:space="0" w:color="000000"/>
                    <w:left w:val="single" w:sz="6" w:space="0" w:color="000000"/>
                    <w:bottom w:val="single" w:sz="6" w:space="0" w:color="000000"/>
                    <w:right w:val="single" w:sz="6" w:space="0" w:color="000000"/>
                  </w:divBdr>
                </w:div>
                <w:div w:id="228617731">
                  <w:marLeft w:val="0"/>
                  <w:marRight w:val="0"/>
                  <w:marTop w:val="0"/>
                  <w:marBottom w:val="0"/>
                  <w:divBdr>
                    <w:top w:val="none" w:sz="0" w:space="0" w:color="auto"/>
                    <w:left w:val="none" w:sz="0" w:space="0" w:color="auto"/>
                    <w:bottom w:val="none" w:sz="0" w:space="0" w:color="auto"/>
                    <w:right w:val="none" w:sz="0" w:space="0" w:color="auto"/>
                  </w:divBdr>
                </w:div>
              </w:divsChild>
            </w:div>
            <w:div w:id="974528592">
              <w:marLeft w:val="0"/>
              <w:marRight w:val="0"/>
              <w:marTop w:val="0"/>
              <w:marBottom w:val="0"/>
              <w:divBdr>
                <w:top w:val="none" w:sz="0" w:space="0" w:color="auto"/>
                <w:left w:val="none" w:sz="0" w:space="0" w:color="auto"/>
                <w:bottom w:val="none" w:sz="0" w:space="0" w:color="auto"/>
                <w:right w:val="none" w:sz="0" w:space="0" w:color="auto"/>
              </w:divBdr>
            </w:div>
            <w:div w:id="140194147">
              <w:marLeft w:val="0"/>
              <w:marRight w:val="0"/>
              <w:marTop w:val="0"/>
              <w:marBottom w:val="0"/>
              <w:divBdr>
                <w:top w:val="none" w:sz="0" w:space="0" w:color="auto"/>
                <w:left w:val="none" w:sz="0" w:space="0" w:color="auto"/>
                <w:bottom w:val="none" w:sz="0" w:space="0" w:color="auto"/>
                <w:right w:val="none" w:sz="0" w:space="0" w:color="auto"/>
              </w:divBdr>
              <w:divsChild>
                <w:div w:id="814681349">
                  <w:marLeft w:val="0"/>
                  <w:marRight w:val="0"/>
                  <w:marTop w:val="0"/>
                  <w:marBottom w:val="0"/>
                  <w:divBdr>
                    <w:top w:val="none" w:sz="0" w:space="0" w:color="auto"/>
                    <w:left w:val="none" w:sz="0" w:space="0" w:color="auto"/>
                    <w:bottom w:val="none" w:sz="0" w:space="0" w:color="auto"/>
                    <w:right w:val="none" w:sz="0" w:space="0" w:color="auto"/>
                  </w:divBdr>
                </w:div>
                <w:div w:id="2102411383">
                  <w:marLeft w:val="0"/>
                  <w:marRight w:val="0"/>
                  <w:marTop w:val="0"/>
                  <w:marBottom w:val="0"/>
                  <w:divBdr>
                    <w:top w:val="single" w:sz="6" w:space="0" w:color="000000"/>
                    <w:left w:val="single" w:sz="6" w:space="0" w:color="000000"/>
                    <w:bottom w:val="single" w:sz="6" w:space="0" w:color="000000"/>
                    <w:right w:val="single" w:sz="6" w:space="0" w:color="000000"/>
                  </w:divBdr>
                </w:div>
                <w:div w:id="832258920">
                  <w:marLeft w:val="0"/>
                  <w:marRight w:val="0"/>
                  <w:marTop w:val="0"/>
                  <w:marBottom w:val="0"/>
                  <w:divBdr>
                    <w:top w:val="none" w:sz="0" w:space="0" w:color="auto"/>
                    <w:left w:val="none" w:sz="0" w:space="0" w:color="auto"/>
                    <w:bottom w:val="none" w:sz="0" w:space="0" w:color="auto"/>
                    <w:right w:val="none" w:sz="0" w:space="0" w:color="auto"/>
                  </w:divBdr>
                </w:div>
              </w:divsChild>
            </w:div>
            <w:div w:id="765076950">
              <w:marLeft w:val="0"/>
              <w:marRight w:val="0"/>
              <w:marTop w:val="0"/>
              <w:marBottom w:val="0"/>
              <w:divBdr>
                <w:top w:val="none" w:sz="0" w:space="0" w:color="auto"/>
                <w:left w:val="none" w:sz="0" w:space="0" w:color="auto"/>
                <w:bottom w:val="none" w:sz="0" w:space="0" w:color="auto"/>
                <w:right w:val="none" w:sz="0" w:space="0" w:color="auto"/>
              </w:divBdr>
            </w:div>
            <w:div w:id="1152330584">
              <w:marLeft w:val="0"/>
              <w:marRight w:val="0"/>
              <w:marTop w:val="0"/>
              <w:marBottom w:val="0"/>
              <w:divBdr>
                <w:top w:val="none" w:sz="0" w:space="0" w:color="auto"/>
                <w:left w:val="none" w:sz="0" w:space="0" w:color="auto"/>
                <w:bottom w:val="none" w:sz="0" w:space="0" w:color="auto"/>
                <w:right w:val="none" w:sz="0" w:space="0" w:color="auto"/>
              </w:divBdr>
              <w:divsChild>
                <w:div w:id="115417843">
                  <w:marLeft w:val="0"/>
                  <w:marRight w:val="0"/>
                  <w:marTop w:val="0"/>
                  <w:marBottom w:val="0"/>
                  <w:divBdr>
                    <w:top w:val="none" w:sz="0" w:space="0" w:color="auto"/>
                    <w:left w:val="none" w:sz="0" w:space="0" w:color="auto"/>
                    <w:bottom w:val="none" w:sz="0" w:space="0" w:color="auto"/>
                    <w:right w:val="none" w:sz="0" w:space="0" w:color="auto"/>
                  </w:divBdr>
                </w:div>
                <w:div w:id="1608586360">
                  <w:marLeft w:val="0"/>
                  <w:marRight w:val="0"/>
                  <w:marTop w:val="0"/>
                  <w:marBottom w:val="0"/>
                  <w:divBdr>
                    <w:top w:val="single" w:sz="6" w:space="0" w:color="000000"/>
                    <w:left w:val="single" w:sz="6" w:space="0" w:color="000000"/>
                    <w:bottom w:val="single" w:sz="6" w:space="0" w:color="000000"/>
                    <w:right w:val="single" w:sz="6" w:space="0" w:color="000000"/>
                  </w:divBdr>
                </w:div>
              </w:divsChild>
            </w:div>
            <w:div w:id="1358122417">
              <w:marLeft w:val="0"/>
              <w:marRight w:val="0"/>
              <w:marTop w:val="0"/>
              <w:marBottom w:val="0"/>
              <w:divBdr>
                <w:top w:val="none" w:sz="0" w:space="0" w:color="auto"/>
                <w:left w:val="none" w:sz="0" w:space="0" w:color="auto"/>
                <w:bottom w:val="none" w:sz="0" w:space="0" w:color="auto"/>
                <w:right w:val="none" w:sz="0" w:space="0" w:color="auto"/>
              </w:divBdr>
            </w:div>
            <w:div w:id="1984384400">
              <w:marLeft w:val="0"/>
              <w:marRight w:val="0"/>
              <w:marTop w:val="0"/>
              <w:marBottom w:val="0"/>
              <w:divBdr>
                <w:top w:val="none" w:sz="0" w:space="0" w:color="auto"/>
                <w:left w:val="none" w:sz="0" w:space="0" w:color="auto"/>
                <w:bottom w:val="none" w:sz="0" w:space="0" w:color="auto"/>
                <w:right w:val="none" w:sz="0" w:space="0" w:color="auto"/>
              </w:divBdr>
              <w:divsChild>
                <w:div w:id="451747236">
                  <w:marLeft w:val="0"/>
                  <w:marRight w:val="0"/>
                  <w:marTop w:val="0"/>
                  <w:marBottom w:val="0"/>
                  <w:divBdr>
                    <w:top w:val="none" w:sz="0" w:space="0" w:color="auto"/>
                    <w:left w:val="none" w:sz="0" w:space="0" w:color="auto"/>
                    <w:bottom w:val="none" w:sz="0" w:space="0" w:color="auto"/>
                    <w:right w:val="none" w:sz="0" w:space="0" w:color="auto"/>
                  </w:divBdr>
                </w:div>
                <w:div w:id="662701820">
                  <w:marLeft w:val="0"/>
                  <w:marRight w:val="0"/>
                  <w:marTop w:val="0"/>
                  <w:marBottom w:val="0"/>
                  <w:divBdr>
                    <w:top w:val="single" w:sz="6" w:space="0" w:color="000000"/>
                    <w:left w:val="single" w:sz="6" w:space="0" w:color="000000"/>
                    <w:bottom w:val="single" w:sz="6" w:space="0" w:color="000000"/>
                    <w:right w:val="single" w:sz="6" w:space="0" w:color="000000"/>
                  </w:divBdr>
                </w:div>
              </w:divsChild>
            </w:div>
            <w:div w:id="100423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image" Target="media/image6.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fr.gov/cgi-bin/retrieveECFR?gp=&amp;SID=24610dfda18a44a0812052720d88ada0&amp;n=40y7.0.1.1.1&amp;r=PART&amp;ty=HTML" TargetMode="External"/><Relationship Id="rId11" Type="http://schemas.openxmlformats.org/officeDocument/2006/relationships/image" Target="media/image5.gi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gif"/><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15</Pages>
  <Words>13016</Words>
  <Characters>74192</Characters>
  <Application>Microsoft Office Word</Application>
  <DocSecurity>0</DocSecurity>
  <Lines>618</Lines>
  <Paragraphs>174</Paragraphs>
  <ScaleCrop>false</ScaleCrop>
  <Company>Northeast District</Company>
  <LinksUpToDate>false</LinksUpToDate>
  <CharactersWithSpaces>87034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Rita Felton-Smith</cp:lastModifiedBy>
  <cp:revision>4</cp:revision>
  <dcterms:created xsi:type="dcterms:W3CDTF">2013-10-10T17:24:00Z</dcterms:created>
  <dcterms:modified xsi:type="dcterms:W3CDTF">2014-02-04T17:04:00Z</dcterms:modified>
</cp:coreProperties>
</file>